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301" w:lineRule="auto"/>
        <w:rPr/>
      </w:pPr>
      <w:r/>
    </w:p>
    <w:p>
      <w:pPr>
        <w:pStyle w:val="BodyText"/>
        <w:spacing w:line="302" w:lineRule="auto"/>
        <w:rPr/>
      </w:pPr>
      <w:r/>
    </w:p>
    <w:p>
      <w:pPr>
        <w:ind w:left="918"/>
        <w:spacing w:before="270" w:line="226" w:lineRule="auto"/>
        <w:rPr>
          <w:rFonts w:ascii="SimHei" w:hAnsi="SimHei" w:eastAsia="SimHei" w:cs="SimHei"/>
          <w:sz w:val="83"/>
          <w:szCs w:val="83"/>
        </w:rPr>
      </w:pPr>
      <w:r>
        <w:rPr>
          <w:rFonts w:ascii="SimHei" w:hAnsi="SimHei" w:eastAsia="SimHei" w:cs="SimHei"/>
          <w:sz w:val="83"/>
          <w:szCs w:val="83"/>
          <w:b/>
          <w:bCs/>
          <w:spacing w:val="-34"/>
        </w:rPr>
        <w:t>团</w:t>
      </w:r>
      <w:r>
        <w:rPr>
          <w:rFonts w:ascii="SimHei" w:hAnsi="SimHei" w:eastAsia="SimHei" w:cs="SimHei"/>
          <w:sz w:val="83"/>
          <w:szCs w:val="83"/>
          <w:spacing w:val="93"/>
        </w:rPr>
        <w:t xml:space="preserve">   </w:t>
      </w:r>
      <w:r>
        <w:rPr>
          <w:rFonts w:ascii="SimHei" w:hAnsi="SimHei" w:eastAsia="SimHei" w:cs="SimHei"/>
          <w:sz w:val="83"/>
          <w:szCs w:val="83"/>
          <w:b/>
          <w:bCs/>
          <w:spacing w:val="-34"/>
        </w:rPr>
        <w:t>体</w:t>
      </w:r>
      <w:r>
        <w:rPr>
          <w:rFonts w:ascii="SimHei" w:hAnsi="SimHei" w:eastAsia="SimHei" w:cs="SimHei"/>
          <w:sz w:val="83"/>
          <w:szCs w:val="83"/>
          <w:spacing w:val="90"/>
        </w:rPr>
        <w:t xml:space="preserve">   </w:t>
      </w:r>
      <w:r>
        <w:rPr>
          <w:rFonts w:ascii="SimHei" w:hAnsi="SimHei" w:eastAsia="SimHei" w:cs="SimHei"/>
          <w:sz w:val="83"/>
          <w:szCs w:val="83"/>
          <w:b/>
          <w:bCs/>
          <w:spacing w:val="-34"/>
        </w:rPr>
        <w:t>标</w:t>
      </w:r>
      <w:r>
        <w:rPr>
          <w:rFonts w:ascii="SimHei" w:hAnsi="SimHei" w:eastAsia="SimHei" w:cs="SimHei"/>
          <w:sz w:val="83"/>
          <w:szCs w:val="83"/>
          <w:spacing w:val="95"/>
        </w:rPr>
        <w:t xml:space="preserve">   </w:t>
      </w:r>
      <w:r>
        <w:rPr>
          <w:rFonts w:ascii="SimHei" w:hAnsi="SimHei" w:eastAsia="SimHei" w:cs="SimHei"/>
          <w:sz w:val="83"/>
          <w:szCs w:val="83"/>
          <w:b/>
          <w:bCs/>
          <w:spacing w:val="-34"/>
        </w:rPr>
        <w:t>准</w:t>
      </w:r>
    </w:p>
    <w:p>
      <w:pPr>
        <w:pStyle w:val="BodyText"/>
        <w:spacing w:line="262" w:lineRule="auto"/>
        <w:rPr/>
      </w:pPr>
      <w:r/>
    </w:p>
    <w:p>
      <w:pPr>
        <w:pStyle w:val="BodyText"/>
        <w:spacing w:line="262" w:lineRule="auto"/>
        <w:rPr/>
      </w:pPr>
      <w:r/>
    </w:p>
    <w:p>
      <w:pPr>
        <w:ind w:left="6530"/>
        <w:spacing w:before="91" w:line="184" w:lineRule="auto"/>
        <w:rPr>
          <w:rFonts w:ascii="Times New Roman" w:hAnsi="Times New Roman" w:eastAsia="Times New Roman" w:cs="Times New Roman"/>
          <w:sz w:val="28"/>
          <w:szCs w:val="28"/>
        </w:rPr>
      </w:pPr>
      <w:r>
        <w:drawing>
          <wp:anchor distT="0" distB="0" distL="0" distR="0" simplePos="0" relativeHeight="251660288" behindDoc="0" locked="0" layoutInCell="1" allowOverlap="1">
            <wp:simplePos x="0" y="0"/>
            <wp:positionH relativeFrom="column">
              <wp:posOffset>50800</wp:posOffset>
            </wp:positionH>
            <wp:positionV relativeFrom="paragraph">
              <wp:posOffset>180182</wp:posOffset>
            </wp:positionV>
            <wp:extent cx="6121400" cy="12700"/>
            <wp:effectExtent l="0" t="0" r="0" b="0"/>
            <wp:wrapNone/>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6121400" cy="12700"/>
                    </a:xfrm>
                    <a:prstGeom prst="rect">
                      <a:avLst/>
                    </a:prstGeom>
                  </pic:spPr>
                </pic:pic>
              </a:graphicData>
            </a:graphic>
          </wp:anchor>
        </w:drawing>
      </w:r>
      <w:r>
        <w:rPr>
          <w:rFonts w:ascii="Times New Roman" w:hAnsi="Times New Roman" w:eastAsia="Times New Roman" w:cs="Times New Roman"/>
          <w:sz w:val="28"/>
          <w:szCs w:val="28"/>
          <w:spacing w:val="-1"/>
        </w:rPr>
        <w:t>T/OTOP XXXX</w:t>
      </w:r>
      <w:r>
        <w:rPr>
          <w:rFonts w:ascii="SimSun" w:hAnsi="SimSun" w:eastAsia="SimSun" w:cs="SimSun"/>
          <w:sz w:val="28"/>
          <w:szCs w:val="28"/>
          <w:spacing w:val="-1"/>
        </w:rPr>
        <w:t>—</w:t>
      </w:r>
      <w:r>
        <w:rPr>
          <w:rFonts w:ascii="Times New Roman" w:hAnsi="Times New Roman" w:eastAsia="Times New Roman" w:cs="Times New Roman"/>
          <w:sz w:val="28"/>
          <w:szCs w:val="28"/>
          <w:spacing w:val="-1"/>
        </w:rPr>
        <w:t>2026</w:t>
      </w:r>
    </w:p>
    <w:p>
      <w:pPr>
        <w:pStyle w:val="BodyText"/>
        <w:spacing w:line="275" w:lineRule="auto"/>
        <w:rPr/>
      </w:pPr>
      <w:r/>
    </w:p>
    <w:p>
      <w:pPr>
        <w:pStyle w:val="BodyText"/>
        <w:spacing w:line="275" w:lineRule="auto"/>
        <w:rPr/>
      </w:pPr>
      <w:r/>
    </w:p>
    <w:p>
      <w:pPr>
        <w:pStyle w:val="BodyText"/>
        <w:spacing w:line="276" w:lineRule="auto"/>
        <w:rPr/>
      </w:pPr>
      <w:r/>
    </w:p>
    <w:p>
      <w:pPr>
        <w:ind w:left="426"/>
        <w:spacing w:before="169" w:line="221" w:lineRule="auto"/>
        <w:rPr>
          <w:rFonts w:ascii="SimHei" w:hAnsi="SimHei" w:eastAsia="SimHei" w:cs="SimHei"/>
          <w:sz w:val="52"/>
          <w:szCs w:val="52"/>
        </w:rPr>
      </w:pPr>
      <w:r>
        <w:rPr>
          <w:rFonts w:ascii="SimHei" w:hAnsi="SimHei" w:eastAsia="SimHei" w:cs="SimHei"/>
          <w:sz w:val="52"/>
          <w:szCs w:val="52"/>
          <w:spacing w:val="-4"/>
        </w:rPr>
        <w:t>中国非物质文化遗产创新品牌评定标准</w:t>
      </w:r>
    </w:p>
    <w:p>
      <w:pPr>
        <w:pStyle w:val="BodyText"/>
        <w:spacing w:line="274" w:lineRule="auto"/>
        <w:rPr/>
      </w:pPr>
      <w:r/>
    </w:p>
    <w:p>
      <w:pPr>
        <w:pStyle w:val="BodyText"/>
        <w:spacing w:line="274" w:lineRule="auto"/>
        <w:rPr/>
      </w:pPr>
      <w:r/>
    </w:p>
    <w:p>
      <w:pPr>
        <w:pStyle w:val="BodyText"/>
        <w:spacing w:line="275" w:lineRule="auto"/>
        <w:rPr/>
      </w:pPr>
      <w:r/>
    </w:p>
    <w:p>
      <w:pPr>
        <w:pStyle w:val="BodyText"/>
        <w:spacing w:line="275" w:lineRule="auto"/>
        <w:rPr/>
      </w:pPr>
      <w:r/>
    </w:p>
    <w:p>
      <w:pPr>
        <w:ind w:left="1335"/>
        <w:spacing w:before="89" w:line="197" w:lineRule="auto"/>
        <w:rPr>
          <w:rFonts w:ascii="Times New Roman" w:hAnsi="Times New Roman" w:eastAsia="Times New Roman" w:cs="Times New Roman"/>
          <w:sz w:val="31"/>
          <w:szCs w:val="31"/>
        </w:rPr>
      </w:pPr>
      <w:r>
        <w:rPr>
          <w:rFonts w:ascii="Times New Roman" w:hAnsi="Times New Roman" w:eastAsia="Times New Roman" w:cs="Times New Roman"/>
          <w:sz w:val="31"/>
          <w:szCs w:val="31"/>
          <w:spacing w:val="4"/>
        </w:rPr>
        <w:t>Chinese intangible cultural heritage innov</w:t>
      </w:r>
      <w:r>
        <w:rPr>
          <w:rFonts w:ascii="Times New Roman" w:hAnsi="Times New Roman" w:eastAsia="Times New Roman" w:cs="Times New Roman"/>
          <w:sz w:val="31"/>
          <w:szCs w:val="31"/>
          <w:spacing w:val="3"/>
        </w:rPr>
        <w:t>ation brands</w:t>
      </w:r>
    </w:p>
    <w:p>
      <w:pPr>
        <w:pStyle w:val="BodyText"/>
        <w:spacing w:line="295" w:lineRule="auto"/>
        <w:rPr/>
      </w:pPr>
      <w:r/>
    </w:p>
    <w:p>
      <w:pPr>
        <w:pStyle w:val="BodyText"/>
        <w:spacing w:line="295" w:lineRule="auto"/>
        <w:rPr/>
      </w:pPr>
      <w:r/>
    </w:p>
    <w:p>
      <w:pPr>
        <w:pStyle w:val="BodyText"/>
        <w:spacing w:line="295" w:lineRule="auto"/>
        <w:rPr/>
      </w:pPr>
      <w:r/>
    </w:p>
    <w:p>
      <w:pPr>
        <w:pStyle w:val="BodyText"/>
        <w:spacing w:line="296" w:lineRule="auto"/>
        <w:rPr/>
      </w:pPr>
      <w:r/>
    </w:p>
    <w:p>
      <w:pPr>
        <w:ind w:left="3569"/>
        <w:spacing w:before="114" w:line="226" w:lineRule="auto"/>
        <w:rPr>
          <w:rFonts w:ascii="SimHei" w:hAnsi="SimHei" w:eastAsia="SimHei" w:cs="SimHei"/>
          <w:sz w:val="35"/>
          <w:szCs w:val="35"/>
        </w:rPr>
      </w:pPr>
      <w:r>
        <w:rPr>
          <w:rFonts w:ascii="SimHei" w:hAnsi="SimHei" w:eastAsia="SimHei" w:cs="SimHei"/>
          <w:sz w:val="35"/>
          <w:szCs w:val="35"/>
          <w:spacing w:val="2"/>
        </w:rPr>
        <w:t>（征求意见稿）</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ict>
          <v:shape id="_x0000_s2" style="position:absolute;margin-left:39.72pt;margin-top:9.02075pt;mso-position-vertical-relative:text;mso-position-horizontal-relative:text;width:397.25pt;height:0.85pt;z-index:251659264;" filled="false" strokecolor="#000000" strokeweight="0.84pt" coordsize="7945,17" coordorigin="0,0" path="m0,8l7944,8e">
            <v:stroke joinstyle="bevel" miterlimit="2"/>
          </v:shape>
        </w:pict>
      </w: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89"/>
        <w:spacing w:before="91" w:line="228" w:lineRule="auto"/>
        <w:rPr>
          <w:rFonts w:ascii="SimHei" w:hAnsi="SimHei" w:eastAsia="SimHei" w:cs="SimHei"/>
          <w:sz w:val="28"/>
          <w:szCs w:val="28"/>
        </w:rPr>
      </w:pPr>
      <w:r>
        <w:drawing>
          <wp:anchor distT="0" distB="0" distL="0" distR="0" simplePos="0" relativeHeight="251658240" behindDoc="0" locked="0" layoutInCell="1" allowOverlap="1">
            <wp:simplePos x="0" y="0"/>
            <wp:positionH relativeFrom="column">
              <wp:posOffset>0</wp:posOffset>
            </wp:positionH>
            <wp:positionV relativeFrom="paragraph">
              <wp:posOffset>281672</wp:posOffset>
            </wp:positionV>
            <wp:extent cx="6121400" cy="12700"/>
            <wp:effectExtent l="0" t="0" r="0" b="0"/>
            <wp:wrapNone/>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6121400" cy="12700"/>
                    </a:xfrm>
                    <a:prstGeom prst="rect">
                      <a:avLst/>
                    </a:prstGeom>
                  </pic:spPr>
                </pic:pic>
              </a:graphicData>
            </a:graphic>
          </wp:anchor>
        </w:drawing>
      </w:r>
      <w:r>
        <w:rPr>
          <w:rFonts w:ascii="SimHei" w:hAnsi="SimHei" w:eastAsia="SimHei" w:cs="SimHei"/>
          <w:sz w:val="28"/>
          <w:szCs w:val="28"/>
          <w:spacing w:val="-1"/>
          <w:position w:val="1"/>
        </w:rPr>
        <w:t>2026-XX-XX</w:t>
      </w:r>
      <w:r>
        <w:rPr>
          <w:rFonts w:ascii="SimHei" w:hAnsi="SimHei" w:eastAsia="SimHei" w:cs="SimHei"/>
          <w:sz w:val="28"/>
          <w:szCs w:val="28"/>
          <w:spacing w:val="-58"/>
          <w:position w:val="1"/>
        </w:rPr>
        <w:t xml:space="preserve"> </w:t>
      </w:r>
      <w:r>
        <w:rPr>
          <w:rFonts w:ascii="SimHei" w:hAnsi="SimHei" w:eastAsia="SimHei" w:cs="SimHei"/>
          <w:sz w:val="28"/>
          <w:szCs w:val="28"/>
          <w:spacing w:val="-1"/>
          <w:position w:val="1"/>
        </w:rPr>
        <w:t>发布</w:t>
      </w:r>
      <w:r>
        <w:rPr>
          <w:rFonts w:ascii="SimHei" w:hAnsi="SimHei" w:eastAsia="SimHei" w:cs="SimHei"/>
          <w:sz w:val="28"/>
          <w:szCs w:val="28"/>
          <w:spacing w:val="-1"/>
          <w:position w:val="1"/>
        </w:rPr>
        <w:t xml:space="preserve">                                      </w:t>
      </w:r>
      <w:r>
        <w:rPr>
          <w:rFonts w:ascii="SimHei" w:hAnsi="SimHei" w:eastAsia="SimHei" w:cs="SimHei"/>
          <w:sz w:val="28"/>
          <w:szCs w:val="28"/>
          <w:spacing w:val="-1"/>
          <w:position w:val="-1"/>
        </w:rPr>
        <w:t>2026-XX-</w:t>
      </w:r>
      <w:r>
        <w:rPr>
          <w:rFonts w:ascii="SimHei" w:hAnsi="SimHei" w:eastAsia="SimHei" w:cs="SimHei"/>
          <w:sz w:val="28"/>
          <w:szCs w:val="28"/>
          <w:spacing w:val="-2"/>
          <w:position w:val="-1"/>
        </w:rPr>
        <w:t>XX</w:t>
      </w:r>
      <w:r>
        <w:rPr>
          <w:rFonts w:ascii="SimHei" w:hAnsi="SimHei" w:eastAsia="SimHei" w:cs="SimHei"/>
          <w:sz w:val="28"/>
          <w:szCs w:val="28"/>
          <w:spacing w:val="-51"/>
          <w:position w:val="-1"/>
        </w:rPr>
        <w:t xml:space="preserve"> </w:t>
      </w:r>
      <w:r>
        <w:rPr>
          <w:rFonts w:ascii="SimHei" w:hAnsi="SimHei" w:eastAsia="SimHei" w:cs="SimHei"/>
          <w:sz w:val="28"/>
          <w:szCs w:val="28"/>
          <w:spacing w:val="-2"/>
          <w:position w:val="-1"/>
        </w:rPr>
        <w:t>实施</w:t>
      </w:r>
    </w:p>
    <w:p>
      <w:pPr>
        <w:pStyle w:val="BodyText"/>
        <w:spacing w:line="334" w:lineRule="auto"/>
        <w:rPr/>
      </w:pPr>
      <w:r/>
    </w:p>
    <w:p>
      <w:pPr>
        <w:ind w:left="2998"/>
        <w:spacing w:before="92" w:line="222" w:lineRule="auto"/>
        <w:rPr>
          <w:rFonts w:ascii="SimHei" w:hAnsi="SimHei" w:eastAsia="SimHei" w:cs="SimHei"/>
          <w:sz w:val="28"/>
          <w:szCs w:val="28"/>
        </w:rPr>
      </w:pPr>
      <w:r>
        <w:rPr>
          <w:rFonts w:ascii="SimHei" w:hAnsi="SimHei" w:eastAsia="SimHei" w:cs="SimHei"/>
          <w:sz w:val="28"/>
          <w:szCs w:val="28"/>
          <w:spacing w:val="3"/>
        </w:rPr>
        <w:t>中</w:t>
      </w:r>
      <w:r>
        <w:rPr>
          <w:rFonts w:ascii="SimHei" w:hAnsi="SimHei" w:eastAsia="SimHei" w:cs="SimHei"/>
          <w:sz w:val="28"/>
          <w:szCs w:val="28"/>
          <w:spacing w:val="-66"/>
        </w:rPr>
        <w:t xml:space="preserve"> </w:t>
      </w:r>
      <w:r>
        <w:rPr>
          <w:rFonts w:ascii="SimHei" w:hAnsi="SimHei" w:eastAsia="SimHei" w:cs="SimHei"/>
          <w:sz w:val="28"/>
          <w:szCs w:val="28"/>
          <w:spacing w:val="3"/>
        </w:rPr>
        <w:t>国</w:t>
      </w:r>
      <w:r>
        <w:rPr>
          <w:rFonts w:ascii="SimHei" w:hAnsi="SimHei" w:eastAsia="SimHei" w:cs="SimHei"/>
          <w:sz w:val="28"/>
          <w:szCs w:val="28"/>
          <w:spacing w:val="-70"/>
        </w:rPr>
        <w:t xml:space="preserve"> </w:t>
      </w:r>
      <w:r>
        <w:rPr>
          <w:rFonts w:ascii="SimHei" w:hAnsi="SimHei" w:eastAsia="SimHei" w:cs="SimHei"/>
          <w:sz w:val="28"/>
          <w:szCs w:val="28"/>
          <w:spacing w:val="3"/>
        </w:rPr>
        <w:t>民族</w:t>
      </w:r>
      <w:r>
        <w:rPr>
          <w:rFonts w:ascii="SimHei" w:hAnsi="SimHei" w:eastAsia="SimHei" w:cs="SimHei"/>
          <w:sz w:val="28"/>
          <w:szCs w:val="28"/>
          <w:spacing w:val="-70"/>
        </w:rPr>
        <w:t xml:space="preserve"> </w:t>
      </w:r>
      <w:r>
        <w:rPr>
          <w:rFonts w:ascii="SimHei" w:hAnsi="SimHei" w:eastAsia="SimHei" w:cs="SimHei"/>
          <w:sz w:val="28"/>
          <w:szCs w:val="28"/>
          <w:spacing w:val="3"/>
        </w:rPr>
        <w:t>贸</w:t>
      </w:r>
      <w:r>
        <w:rPr>
          <w:rFonts w:ascii="SimHei" w:hAnsi="SimHei" w:eastAsia="SimHei" w:cs="SimHei"/>
          <w:sz w:val="28"/>
          <w:szCs w:val="28"/>
          <w:spacing w:val="-81"/>
        </w:rPr>
        <w:t xml:space="preserve"> </w:t>
      </w:r>
      <w:r>
        <w:rPr>
          <w:rFonts w:ascii="SimHei" w:hAnsi="SimHei" w:eastAsia="SimHei" w:cs="SimHei"/>
          <w:sz w:val="28"/>
          <w:szCs w:val="28"/>
          <w:spacing w:val="3"/>
        </w:rPr>
        <w:t>易促进会</w:t>
      </w:r>
      <w:r>
        <w:rPr>
          <w:rFonts w:ascii="SimHei" w:hAnsi="SimHei" w:eastAsia="SimHei" w:cs="SimHei"/>
          <w:sz w:val="28"/>
          <w:szCs w:val="28"/>
          <w:spacing w:val="101"/>
        </w:rPr>
        <w:t xml:space="preserve"> </w:t>
      </w:r>
      <w:r>
        <w:rPr>
          <w:rFonts w:ascii="SimHei" w:hAnsi="SimHei" w:eastAsia="SimHei" w:cs="SimHei"/>
          <w:sz w:val="28"/>
          <w:szCs w:val="28"/>
          <w:spacing w:val="3"/>
        </w:rPr>
        <w:t>发</w:t>
      </w:r>
      <w:r>
        <w:rPr>
          <w:rFonts w:ascii="SimHei" w:hAnsi="SimHei" w:eastAsia="SimHei" w:cs="SimHei"/>
          <w:sz w:val="28"/>
          <w:szCs w:val="28"/>
          <w:spacing w:val="97"/>
        </w:rPr>
        <w:t xml:space="preserve"> </w:t>
      </w:r>
      <w:r>
        <w:rPr>
          <w:rFonts w:ascii="SimHei" w:hAnsi="SimHei" w:eastAsia="SimHei" w:cs="SimHei"/>
          <w:sz w:val="28"/>
          <w:szCs w:val="28"/>
          <w:spacing w:val="3"/>
        </w:rPr>
        <w:t>布</w:t>
      </w:r>
    </w:p>
    <w:p>
      <w:pPr>
        <w:spacing w:line="222" w:lineRule="auto"/>
        <w:sectPr>
          <w:headerReference w:type="default" r:id="rId1"/>
          <w:pgSz w:w="11906" w:h="16839"/>
          <w:pgMar w:top="1272" w:right="847" w:bottom="0" w:left="1338" w:header="544" w:footer="0" w:gutter="0"/>
        </w:sectPr>
        <w:rPr>
          <w:rFonts w:ascii="SimHei" w:hAnsi="SimHei" w:eastAsia="SimHei" w:cs="SimHei"/>
          <w:sz w:val="28"/>
          <w:szCs w:val="28"/>
        </w:rPr>
      </w:pPr>
    </w:p>
    <w:p>
      <w:pPr>
        <w:pStyle w:val="BodyText"/>
        <w:spacing w:line="291" w:lineRule="auto"/>
        <w:rPr/>
      </w:pPr>
      <w:r/>
    </w:p>
    <w:p>
      <w:pPr>
        <w:pStyle w:val="BodyText"/>
        <w:spacing w:line="291" w:lineRule="auto"/>
        <w:rPr/>
      </w:pPr>
      <w:r/>
    </w:p>
    <w:p>
      <w:pPr>
        <w:pStyle w:val="BodyText"/>
        <w:spacing w:line="291" w:lineRule="auto"/>
        <w:rPr/>
      </w:pPr>
      <w:r/>
    </w:p>
    <w:p>
      <w:pPr>
        <w:pStyle w:val="BodyText"/>
        <w:spacing w:line="291" w:lineRule="auto"/>
        <w:rPr/>
      </w:pPr>
      <w:r/>
    </w:p>
    <w:sdt>
      <w:sdtPr>
        <w:rPr>
          <w:rFonts w:ascii="SimHei" w:hAnsi="SimHei" w:eastAsia="SimHei" w:cs="SimHei"/>
          <w:sz w:val="31"/>
          <w:szCs w:val="31"/>
        </w:rPr>
        <w:docPartObj>
          <w:docPartGallery w:val="Table of Contents"/>
          <w:docPartUnique/>
        </w:docPartObj>
      </w:sdtPr>
      <w:sdtEndPr>
        <w:rPr>
          <w:rFonts w:ascii="SimSun" w:hAnsi="SimSun" w:eastAsia="SimSun" w:cs="SimSun"/>
          <w:sz w:val="22"/>
          <w:szCs w:val="22"/>
        </w:rPr>
      </w:sdtEndPr>
      <w:sdtContent>
        <w:p>
          <w:pPr>
            <w:ind w:left="4088"/>
            <w:spacing w:before="101" w:line="228" w:lineRule="auto"/>
            <w:rPr>
              <w:rFonts w:ascii="SimHei" w:hAnsi="SimHei" w:eastAsia="SimHei" w:cs="SimHei"/>
              <w:sz w:val="31"/>
              <w:szCs w:val="31"/>
            </w:rPr>
          </w:pPr>
          <w:r>
            <w:rPr>
              <w:rFonts w:ascii="SimHei" w:hAnsi="SimHei" w:eastAsia="SimHei" w:cs="SimHei"/>
              <w:sz w:val="31"/>
              <w:szCs w:val="31"/>
              <w:spacing w:val="-18"/>
            </w:rPr>
            <w:t>目次</w:t>
          </w:r>
        </w:p>
        <w:p>
          <w:pPr>
            <w:pStyle w:val="BodyText"/>
            <w:spacing w:line="295" w:lineRule="auto"/>
            <w:rPr/>
          </w:pPr>
          <w:r/>
        </w:p>
        <w:p>
          <w:pPr>
            <w:pStyle w:val="BodyText"/>
            <w:spacing w:line="295" w:lineRule="auto"/>
            <w:rPr/>
          </w:pPr>
          <w:r/>
        </w:p>
        <w:p>
          <w:pPr>
            <w:ind w:left="4"/>
            <w:spacing w:before="72" w:line="222" w:lineRule="auto"/>
            <w:tabs>
              <w:tab w:val="right" w:leader="dot" w:pos="8710"/>
            </w:tabs>
            <w:rPr>
              <w:rFonts w:ascii="SimSun" w:hAnsi="SimSun" w:eastAsia="SimSun" w:cs="SimSun"/>
              <w:sz w:val="22"/>
              <w:szCs w:val="22"/>
            </w:rPr>
          </w:pPr>
          <w:hyperlink w:history="true" w:anchor="bookmark1">
            <w:r>
              <w:rPr>
                <w:rFonts w:ascii="SimSun" w:hAnsi="SimSun" w:eastAsia="SimSun" w:cs="SimSun"/>
                <w:sz w:val="22"/>
                <w:szCs w:val="22"/>
                <w:spacing w:val="-15"/>
              </w:rPr>
              <w:t>前</w:t>
            </w:r>
            <w:r>
              <w:rPr>
                <w:rFonts w:ascii="SimSun" w:hAnsi="SimSun" w:eastAsia="SimSun" w:cs="SimSun"/>
                <w:sz w:val="22"/>
                <w:szCs w:val="22"/>
                <w:spacing w:val="16"/>
              </w:rPr>
              <w:t xml:space="preserve"> </w:t>
            </w:r>
            <w:r>
              <w:rPr>
                <w:rFonts w:ascii="SimSun" w:hAnsi="SimSun" w:eastAsia="SimSun" w:cs="SimSun"/>
                <w:sz w:val="22"/>
                <w:szCs w:val="22"/>
                <w:spacing w:val="-15"/>
              </w:rPr>
              <w:t>言</w:t>
            </w:r>
            <w:r>
              <w:rPr>
                <w:rFonts w:ascii="SimSun" w:hAnsi="SimSun" w:eastAsia="SimSun" w:cs="SimSun"/>
                <w:sz w:val="22"/>
                <w:szCs w:val="22"/>
                <w:spacing w:val="-94"/>
              </w:rPr>
              <w:t xml:space="preserve"> </w:t>
            </w:r>
            <w:r>
              <w:rPr>
                <w:rFonts w:ascii="SimSun" w:hAnsi="SimSun" w:eastAsia="SimSun" w:cs="SimSun"/>
                <w:sz w:val="22"/>
                <w:szCs w:val="22"/>
              </w:rPr>
              <w:tab/>
            </w:r>
            <w:r>
              <w:rPr>
                <w:rFonts w:ascii="SimSun" w:hAnsi="SimSun" w:eastAsia="SimSun" w:cs="SimSun"/>
                <w:sz w:val="22"/>
                <w:szCs w:val="22"/>
                <w:spacing w:val="-68"/>
              </w:rPr>
              <w:t xml:space="preserve"> </w:t>
            </w:r>
            <w:r>
              <w:rPr>
                <w:rFonts w:ascii="SimSun" w:hAnsi="SimSun" w:eastAsia="SimSun" w:cs="SimSun"/>
                <w:sz w:val="22"/>
                <w:szCs w:val="22"/>
                <w:spacing w:val="-13"/>
              </w:rPr>
              <w:t>3</w:t>
            </w:r>
          </w:hyperlink>
        </w:p>
        <w:p>
          <w:pPr>
            <w:ind w:left="17"/>
            <w:spacing w:before="172" w:line="221" w:lineRule="auto"/>
            <w:tabs>
              <w:tab w:val="right" w:leader="dot" w:pos="8710"/>
            </w:tabs>
            <w:rPr>
              <w:rFonts w:ascii="SimSun" w:hAnsi="SimSun" w:eastAsia="SimSun" w:cs="SimSun"/>
              <w:sz w:val="22"/>
              <w:szCs w:val="22"/>
            </w:rPr>
          </w:pPr>
          <w:hyperlink w:history="true" w:anchor="bookmark2">
            <w:r>
              <w:rPr>
                <w:rFonts w:ascii="SimSun" w:hAnsi="SimSun" w:eastAsia="SimSun" w:cs="SimSun"/>
                <w:sz w:val="22"/>
                <w:szCs w:val="22"/>
                <w:spacing w:val="-10"/>
              </w:rPr>
              <w:t>1.</w:t>
            </w:r>
            <w:r>
              <w:rPr>
                <w:rFonts w:ascii="SimSun" w:hAnsi="SimSun" w:eastAsia="SimSun" w:cs="SimSun"/>
                <w:sz w:val="22"/>
                <w:szCs w:val="22"/>
                <w:spacing w:val="14"/>
              </w:rPr>
              <w:t xml:space="preserve"> </w:t>
            </w:r>
            <w:r>
              <w:rPr>
                <w:rFonts w:ascii="SimSun" w:hAnsi="SimSun" w:eastAsia="SimSun" w:cs="SimSun"/>
                <w:sz w:val="22"/>
                <w:szCs w:val="22"/>
                <w:spacing w:val="-10"/>
              </w:rPr>
              <w:t>范围</w:t>
            </w:r>
            <w:r>
              <w:rPr>
                <w:rFonts w:ascii="SimSun" w:hAnsi="SimSun" w:eastAsia="SimSun" w:cs="SimSun"/>
                <w:sz w:val="22"/>
                <w:szCs w:val="22"/>
                <w:spacing w:val="-97"/>
              </w:rPr>
              <w:t xml:space="preserve"> </w:t>
            </w:r>
            <w:r>
              <w:rPr>
                <w:rFonts w:ascii="SimSun" w:hAnsi="SimSun" w:eastAsia="SimSun" w:cs="SimSun"/>
                <w:sz w:val="22"/>
                <w:szCs w:val="22"/>
              </w:rPr>
              <w:tab/>
            </w:r>
            <w:r>
              <w:rPr>
                <w:rFonts w:ascii="SimSun" w:hAnsi="SimSun" w:eastAsia="SimSun" w:cs="SimSun"/>
                <w:sz w:val="22"/>
                <w:szCs w:val="22"/>
                <w:spacing w:val="-72"/>
              </w:rPr>
              <w:t xml:space="preserve"> </w:t>
            </w:r>
            <w:r>
              <w:rPr>
                <w:rFonts w:ascii="SimSun" w:hAnsi="SimSun" w:eastAsia="SimSun" w:cs="SimSun"/>
                <w:sz w:val="22"/>
                <w:szCs w:val="22"/>
                <w:spacing w:val="-8"/>
              </w:rPr>
              <w:t>4</w:t>
            </w:r>
          </w:hyperlink>
        </w:p>
        <w:p>
          <w:pPr>
            <w:ind w:left="3"/>
            <w:spacing w:before="173" w:line="220" w:lineRule="auto"/>
            <w:tabs>
              <w:tab w:val="right" w:leader="dot" w:pos="8710"/>
            </w:tabs>
            <w:rPr>
              <w:rFonts w:ascii="SimSun" w:hAnsi="SimSun" w:eastAsia="SimSun" w:cs="SimSun"/>
              <w:sz w:val="22"/>
              <w:szCs w:val="22"/>
            </w:rPr>
          </w:pPr>
          <w:hyperlink w:history="true" w:anchor="bookmark3">
            <w:r>
              <w:rPr>
                <w:rFonts w:ascii="SimSun" w:hAnsi="SimSun" w:eastAsia="SimSun" w:cs="SimSun"/>
                <w:sz w:val="22"/>
                <w:szCs w:val="22"/>
                <w:spacing w:val="-2"/>
              </w:rPr>
              <w:t>2. 规范性引用文件</w:t>
            </w:r>
            <w:r>
              <w:rPr>
                <w:rFonts w:ascii="SimSun" w:hAnsi="SimSun" w:eastAsia="SimSun" w:cs="SimSun"/>
                <w:sz w:val="22"/>
                <w:szCs w:val="22"/>
                <w:spacing w:val="-87"/>
              </w:rPr>
              <w:t xml:space="preserve"> </w:t>
            </w:r>
            <w:r>
              <w:rPr>
                <w:rFonts w:ascii="SimSun" w:hAnsi="SimSun" w:eastAsia="SimSun" w:cs="SimSun"/>
                <w:sz w:val="22"/>
                <w:szCs w:val="22"/>
              </w:rPr>
              <w:tab/>
            </w:r>
            <w:r>
              <w:rPr>
                <w:rFonts w:ascii="SimSun" w:hAnsi="SimSun" w:eastAsia="SimSun" w:cs="SimSun"/>
                <w:sz w:val="22"/>
                <w:szCs w:val="22"/>
                <w:spacing w:val="15"/>
                <w:w w:val="113"/>
              </w:rPr>
              <w:t>4</w:t>
            </w:r>
          </w:hyperlink>
        </w:p>
        <w:p>
          <w:pPr>
            <w:ind w:left="5"/>
            <w:spacing w:before="175" w:line="220" w:lineRule="auto"/>
            <w:tabs>
              <w:tab w:val="right" w:leader="dot" w:pos="8710"/>
            </w:tabs>
            <w:rPr>
              <w:rFonts w:ascii="SimSun" w:hAnsi="SimSun" w:eastAsia="SimSun" w:cs="SimSun"/>
              <w:sz w:val="22"/>
              <w:szCs w:val="22"/>
            </w:rPr>
          </w:pPr>
          <w:hyperlink w:history="true" w:anchor="bookmark4">
            <w:r>
              <w:rPr>
                <w:rFonts w:ascii="SimSun" w:hAnsi="SimSun" w:eastAsia="SimSun" w:cs="SimSun"/>
                <w:sz w:val="22"/>
                <w:szCs w:val="22"/>
                <w:spacing w:val="-2"/>
              </w:rPr>
              <w:t>3  术语和定义</w:t>
            </w:r>
            <w:r>
              <w:rPr>
                <w:rFonts w:ascii="SimSun" w:hAnsi="SimSun" w:eastAsia="SimSun" w:cs="SimSun"/>
                <w:sz w:val="22"/>
                <w:szCs w:val="22"/>
                <w:spacing w:val="-95"/>
              </w:rPr>
              <w:t xml:space="preserve"> </w:t>
            </w:r>
            <w:r>
              <w:rPr>
                <w:rFonts w:ascii="SimSun" w:hAnsi="SimSun" w:eastAsia="SimSun" w:cs="SimSun"/>
                <w:sz w:val="22"/>
                <w:szCs w:val="22"/>
              </w:rPr>
              <w:tab/>
            </w:r>
            <w:r>
              <w:rPr>
                <w:rFonts w:ascii="SimSun" w:hAnsi="SimSun" w:eastAsia="SimSun" w:cs="SimSun"/>
                <w:sz w:val="22"/>
                <w:szCs w:val="22"/>
                <w:spacing w:val="-72"/>
              </w:rPr>
              <w:t xml:space="preserve"> </w:t>
            </w:r>
            <w:r>
              <w:rPr>
                <w:rFonts w:ascii="SimSun" w:hAnsi="SimSun" w:eastAsia="SimSun" w:cs="SimSun"/>
                <w:sz w:val="22"/>
                <w:szCs w:val="22"/>
                <w:spacing w:val="-8"/>
              </w:rPr>
              <w:t>4</w:t>
            </w:r>
          </w:hyperlink>
        </w:p>
        <w:p>
          <w:pPr>
            <w:spacing w:before="174" w:line="222" w:lineRule="auto"/>
            <w:tabs>
              <w:tab w:val="right" w:leader="dot" w:pos="8710"/>
            </w:tabs>
            <w:rPr>
              <w:rFonts w:ascii="SimSun" w:hAnsi="SimSun" w:eastAsia="SimSun" w:cs="SimSun"/>
              <w:sz w:val="22"/>
              <w:szCs w:val="22"/>
            </w:rPr>
          </w:pPr>
          <w:hyperlink w:history="true" w:anchor="bookmark5">
            <w:r>
              <w:rPr>
                <w:rFonts w:ascii="SimSun" w:hAnsi="SimSun" w:eastAsia="SimSun" w:cs="SimSun"/>
                <w:sz w:val="22"/>
                <w:szCs w:val="22"/>
                <w:spacing w:val="-1"/>
              </w:rPr>
              <w:t>4. 合规性要求</w:t>
            </w:r>
            <w:r>
              <w:rPr>
                <w:rFonts w:ascii="SimSun" w:hAnsi="SimSun" w:eastAsia="SimSun" w:cs="SimSun"/>
                <w:sz w:val="22"/>
                <w:szCs w:val="22"/>
                <w:spacing w:val="-97"/>
              </w:rPr>
              <w:t xml:space="preserve"> </w:t>
            </w:r>
            <w:r>
              <w:rPr>
                <w:rFonts w:ascii="SimSun" w:hAnsi="SimSun" w:eastAsia="SimSun" w:cs="SimSun"/>
                <w:sz w:val="22"/>
                <w:szCs w:val="22"/>
              </w:rPr>
              <w:tab/>
            </w:r>
            <w:r>
              <w:rPr>
                <w:rFonts w:ascii="SimSun" w:hAnsi="SimSun" w:eastAsia="SimSun" w:cs="SimSun"/>
                <w:sz w:val="22"/>
                <w:szCs w:val="22"/>
                <w:spacing w:val="-66"/>
              </w:rPr>
              <w:t xml:space="preserve"> </w:t>
            </w:r>
            <w:r>
              <w:rPr>
                <w:rFonts w:ascii="SimSun" w:hAnsi="SimSun" w:eastAsia="SimSun" w:cs="SimSun"/>
                <w:sz w:val="22"/>
                <w:szCs w:val="22"/>
                <w:spacing w:val="-13"/>
              </w:rPr>
              <w:t>5</w:t>
            </w:r>
          </w:hyperlink>
        </w:p>
        <w:p>
          <w:pPr>
            <w:ind w:left="5"/>
            <w:spacing w:before="173" w:line="219" w:lineRule="auto"/>
            <w:tabs>
              <w:tab w:val="right" w:leader="dot" w:pos="8710"/>
            </w:tabs>
            <w:rPr>
              <w:rFonts w:ascii="SimSun" w:hAnsi="SimSun" w:eastAsia="SimSun" w:cs="SimSun"/>
              <w:sz w:val="22"/>
              <w:szCs w:val="22"/>
            </w:rPr>
          </w:pPr>
          <w:hyperlink w:history="true" w:anchor="bookmark6">
            <w:r>
              <w:rPr>
                <w:rFonts w:ascii="SimSun" w:hAnsi="SimSun" w:eastAsia="SimSun" w:cs="SimSun"/>
                <w:sz w:val="22"/>
                <w:szCs w:val="22"/>
                <w:spacing w:val="-3"/>
              </w:rPr>
              <w:t>5 基本原则</w:t>
            </w:r>
            <w:r>
              <w:rPr>
                <w:rFonts w:ascii="SimSun" w:hAnsi="SimSun" w:eastAsia="SimSun" w:cs="SimSun"/>
                <w:sz w:val="22"/>
                <w:szCs w:val="22"/>
                <w:spacing w:val="-92"/>
              </w:rPr>
              <w:t xml:space="preserve"> </w:t>
            </w:r>
            <w:r>
              <w:rPr>
                <w:rFonts w:ascii="SimSun" w:hAnsi="SimSun" w:eastAsia="SimSun" w:cs="SimSun"/>
                <w:sz w:val="22"/>
                <w:szCs w:val="22"/>
              </w:rPr>
              <w:tab/>
            </w:r>
            <w:r>
              <w:rPr>
                <w:rFonts w:ascii="SimSun" w:hAnsi="SimSun" w:eastAsia="SimSun" w:cs="SimSun"/>
                <w:sz w:val="22"/>
                <w:szCs w:val="22"/>
                <w:spacing w:val="-70"/>
              </w:rPr>
              <w:t xml:space="preserve"> </w:t>
            </w:r>
            <w:r>
              <w:rPr>
                <w:rFonts w:ascii="SimSun" w:hAnsi="SimSun" w:eastAsia="SimSun" w:cs="SimSun"/>
                <w:sz w:val="22"/>
                <w:szCs w:val="22"/>
                <w:spacing w:val="-10"/>
              </w:rPr>
              <w:t>6</w:t>
            </w:r>
          </w:hyperlink>
        </w:p>
        <w:p>
          <w:pPr>
            <w:ind w:left="2"/>
            <w:spacing w:before="175" w:line="221" w:lineRule="auto"/>
            <w:tabs>
              <w:tab w:val="right" w:leader="dot" w:pos="8710"/>
            </w:tabs>
            <w:rPr>
              <w:rFonts w:ascii="SimSun" w:hAnsi="SimSun" w:eastAsia="SimSun" w:cs="SimSun"/>
              <w:sz w:val="22"/>
              <w:szCs w:val="22"/>
            </w:rPr>
          </w:pPr>
          <w:hyperlink w:history="true" w:anchor="bookmark7">
            <w:r>
              <w:rPr>
                <w:rFonts w:ascii="SimSun" w:hAnsi="SimSun" w:eastAsia="SimSun" w:cs="SimSun"/>
                <w:sz w:val="22"/>
                <w:szCs w:val="22"/>
                <w:spacing w:val="-2"/>
              </w:rPr>
              <w:t>6. 评定指标</w:t>
            </w:r>
            <w:r>
              <w:rPr>
                <w:rFonts w:ascii="SimSun" w:hAnsi="SimSun" w:eastAsia="SimSun" w:cs="SimSun"/>
                <w:sz w:val="22"/>
                <w:szCs w:val="22"/>
                <w:spacing w:val="-93"/>
              </w:rPr>
              <w:t xml:space="preserve"> </w:t>
            </w:r>
            <w:r>
              <w:rPr>
                <w:rFonts w:ascii="SimSun" w:hAnsi="SimSun" w:eastAsia="SimSun" w:cs="SimSun"/>
                <w:sz w:val="22"/>
                <w:szCs w:val="22"/>
              </w:rPr>
              <w:tab/>
            </w:r>
            <w:r>
              <w:rPr>
                <w:rFonts w:ascii="SimSun" w:hAnsi="SimSun" w:eastAsia="SimSun" w:cs="SimSun"/>
                <w:sz w:val="22"/>
                <w:szCs w:val="22"/>
                <w:spacing w:val="-71"/>
              </w:rPr>
              <w:t xml:space="preserve"> </w:t>
            </w:r>
            <w:r>
              <w:rPr>
                <w:rFonts w:ascii="SimSun" w:hAnsi="SimSun" w:eastAsia="SimSun" w:cs="SimSun"/>
                <w:sz w:val="22"/>
                <w:szCs w:val="22"/>
                <w:spacing w:val="-10"/>
              </w:rPr>
              <w:t>6</w:t>
            </w:r>
          </w:hyperlink>
        </w:p>
        <w:p>
          <w:pPr>
            <w:ind w:left="6"/>
            <w:spacing w:before="174" w:line="219" w:lineRule="auto"/>
            <w:tabs>
              <w:tab w:val="right" w:leader="dot" w:pos="8710"/>
            </w:tabs>
            <w:rPr>
              <w:rFonts w:ascii="SimSun" w:hAnsi="SimSun" w:eastAsia="SimSun" w:cs="SimSun"/>
              <w:sz w:val="22"/>
              <w:szCs w:val="22"/>
            </w:rPr>
          </w:pPr>
          <w:hyperlink w:history="true" w:anchor="bookmark8">
            <w:r>
              <w:rPr>
                <w:rFonts w:ascii="SimSun" w:hAnsi="SimSun" w:eastAsia="SimSun" w:cs="SimSun"/>
                <w:sz w:val="22"/>
                <w:szCs w:val="22"/>
                <w:spacing w:val="-1"/>
              </w:rPr>
              <w:t>7 非遗创新品牌及对应产品探源与活态传承体系</w:t>
            </w:r>
            <w:r>
              <w:rPr>
                <w:rFonts w:ascii="SimSun" w:hAnsi="SimSun" w:eastAsia="SimSun" w:cs="SimSun"/>
                <w:sz w:val="22"/>
                <w:szCs w:val="22"/>
                <w:spacing w:val="-88"/>
              </w:rPr>
              <w:t xml:space="preserve"> </w:t>
            </w:r>
            <w:r>
              <w:rPr>
                <w:rFonts w:ascii="SimSun" w:hAnsi="SimSun" w:eastAsia="SimSun" w:cs="SimSun"/>
                <w:sz w:val="22"/>
                <w:szCs w:val="22"/>
              </w:rPr>
              <w:tab/>
            </w:r>
            <w:r>
              <w:rPr>
                <w:rFonts w:ascii="SimSun" w:hAnsi="SimSun" w:eastAsia="SimSun" w:cs="SimSun"/>
                <w:sz w:val="22"/>
                <w:szCs w:val="22"/>
                <w:spacing w:val="-68"/>
              </w:rPr>
              <w:t xml:space="preserve"> </w:t>
            </w:r>
            <w:r>
              <w:rPr>
                <w:rFonts w:ascii="SimSun" w:hAnsi="SimSun" w:eastAsia="SimSun" w:cs="SimSun"/>
                <w:sz w:val="22"/>
                <w:szCs w:val="22"/>
                <w:spacing w:val="-14"/>
              </w:rPr>
              <w:t>7</w:t>
            </w:r>
          </w:hyperlink>
        </w:p>
        <w:p>
          <w:pPr>
            <w:ind w:left="1"/>
            <w:spacing w:before="176" w:line="220" w:lineRule="auto"/>
            <w:tabs>
              <w:tab w:val="right" w:leader="dot" w:pos="8710"/>
            </w:tabs>
            <w:rPr>
              <w:rFonts w:ascii="SimSun" w:hAnsi="SimSun" w:eastAsia="SimSun" w:cs="SimSun"/>
              <w:sz w:val="22"/>
              <w:szCs w:val="22"/>
            </w:rPr>
          </w:pPr>
          <w:hyperlink w:history="true" w:anchor="bookmark9">
            <w:r>
              <w:rPr>
                <w:rFonts w:ascii="SimSun" w:hAnsi="SimSun" w:eastAsia="SimSun" w:cs="SimSun"/>
                <w:sz w:val="22"/>
                <w:szCs w:val="22"/>
                <w:spacing w:val="-1"/>
              </w:rPr>
              <w:t>8 非遗创新品牌的现代管理体系</w:t>
            </w:r>
            <w:r>
              <w:rPr>
                <w:rFonts w:ascii="SimSun" w:hAnsi="SimSun" w:eastAsia="SimSun" w:cs="SimSun"/>
                <w:sz w:val="22"/>
                <w:szCs w:val="22"/>
                <w:spacing w:val="-91"/>
              </w:rPr>
              <w:t xml:space="preserve"> </w:t>
            </w:r>
            <w:r>
              <w:rPr>
                <w:rFonts w:ascii="SimSun" w:hAnsi="SimSun" w:eastAsia="SimSun" w:cs="SimSun"/>
                <w:sz w:val="22"/>
                <w:szCs w:val="22"/>
              </w:rPr>
              <w:tab/>
            </w:r>
            <w:r>
              <w:rPr>
                <w:rFonts w:ascii="SimSun" w:hAnsi="SimSun" w:eastAsia="SimSun" w:cs="SimSun"/>
                <w:sz w:val="22"/>
                <w:szCs w:val="22"/>
                <w:spacing w:val="-71"/>
              </w:rPr>
              <w:t xml:space="preserve"> </w:t>
            </w:r>
            <w:r>
              <w:rPr>
                <w:rFonts w:ascii="SimSun" w:hAnsi="SimSun" w:eastAsia="SimSun" w:cs="SimSun"/>
                <w:sz w:val="22"/>
                <w:szCs w:val="22"/>
                <w:spacing w:val="-10"/>
              </w:rPr>
              <w:t>8</w:t>
            </w:r>
          </w:hyperlink>
        </w:p>
        <w:p>
          <w:pPr>
            <w:ind w:left="1"/>
            <w:spacing w:before="174" w:line="221" w:lineRule="auto"/>
            <w:tabs>
              <w:tab w:val="right" w:leader="dot" w:pos="8710"/>
            </w:tabs>
            <w:rPr>
              <w:rFonts w:ascii="SimSun" w:hAnsi="SimSun" w:eastAsia="SimSun" w:cs="SimSun"/>
              <w:sz w:val="22"/>
              <w:szCs w:val="22"/>
            </w:rPr>
          </w:pPr>
          <w:hyperlink w:history="true" w:anchor="bookmark10">
            <w:r>
              <w:rPr>
                <w:rFonts w:ascii="SimSun" w:hAnsi="SimSun" w:eastAsia="SimSun" w:cs="SimSun"/>
                <w:sz w:val="22"/>
                <w:szCs w:val="22"/>
                <w:spacing w:val="-4"/>
              </w:rPr>
              <w:t>9</w:t>
            </w:r>
            <w:r>
              <w:rPr>
                <w:rFonts w:ascii="SimSun" w:hAnsi="SimSun" w:eastAsia="SimSun" w:cs="SimSun"/>
                <w:sz w:val="22"/>
                <w:szCs w:val="22"/>
                <w:spacing w:val="9"/>
              </w:rPr>
              <w:t xml:space="preserve"> </w:t>
            </w:r>
            <w:r>
              <w:rPr>
                <w:rFonts w:ascii="SimSun" w:hAnsi="SimSun" w:eastAsia="SimSun" w:cs="SimSun"/>
                <w:sz w:val="22"/>
                <w:szCs w:val="22"/>
                <w:spacing w:val="-4"/>
              </w:rPr>
              <w:t>工作程序</w:t>
            </w:r>
            <w:r>
              <w:rPr>
                <w:rFonts w:ascii="SimSun" w:hAnsi="SimSun" w:eastAsia="SimSun" w:cs="SimSun"/>
                <w:sz w:val="22"/>
                <w:szCs w:val="22"/>
                <w:spacing w:val="-95"/>
              </w:rPr>
              <w:t xml:space="preserve"> </w:t>
            </w:r>
            <w:r>
              <w:rPr>
                <w:rFonts w:ascii="SimSun" w:hAnsi="SimSun" w:eastAsia="SimSun" w:cs="SimSun"/>
                <w:sz w:val="22"/>
                <w:szCs w:val="22"/>
              </w:rPr>
              <w:tab/>
            </w:r>
            <w:r>
              <w:rPr>
                <w:rFonts w:ascii="SimSun" w:hAnsi="SimSun" w:eastAsia="SimSun" w:cs="SimSun"/>
                <w:sz w:val="22"/>
                <w:szCs w:val="22"/>
                <w:spacing w:val="-71"/>
              </w:rPr>
              <w:t xml:space="preserve"> </w:t>
            </w:r>
            <w:r>
              <w:rPr>
                <w:rFonts w:ascii="SimSun" w:hAnsi="SimSun" w:eastAsia="SimSun" w:cs="SimSun"/>
                <w:sz w:val="22"/>
                <w:szCs w:val="22"/>
                <w:spacing w:val="-10"/>
              </w:rPr>
              <w:t>8</w:t>
            </w:r>
          </w:hyperlink>
        </w:p>
        <w:p>
          <w:pPr>
            <w:ind w:left="17"/>
            <w:spacing w:before="173" w:line="221" w:lineRule="auto"/>
            <w:tabs>
              <w:tab w:val="right" w:leader="dot" w:pos="8710"/>
            </w:tabs>
            <w:rPr>
              <w:rFonts w:ascii="SimSun" w:hAnsi="SimSun" w:eastAsia="SimSun" w:cs="SimSun"/>
              <w:sz w:val="22"/>
              <w:szCs w:val="22"/>
            </w:rPr>
          </w:pPr>
          <w:hyperlink w:history="true" w:anchor="bookmark11">
            <w:r>
              <w:rPr>
                <w:rFonts w:ascii="SimSun" w:hAnsi="SimSun" w:eastAsia="SimSun" w:cs="SimSun"/>
                <w:sz w:val="22"/>
                <w:szCs w:val="22"/>
                <w:spacing w:val="-4"/>
              </w:rPr>
              <w:t>10 评定方法</w:t>
            </w:r>
            <w:r>
              <w:rPr>
                <w:rFonts w:ascii="SimSun" w:hAnsi="SimSun" w:eastAsia="SimSun" w:cs="SimSun"/>
                <w:sz w:val="22"/>
                <w:szCs w:val="22"/>
                <w:spacing w:val="-93"/>
              </w:rPr>
              <w:t xml:space="preserve"> </w:t>
            </w:r>
            <w:r>
              <w:rPr>
                <w:rFonts w:ascii="SimSun" w:hAnsi="SimSun" w:eastAsia="SimSun" w:cs="SimSun"/>
                <w:sz w:val="22"/>
                <w:szCs w:val="22"/>
              </w:rPr>
              <w:tab/>
            </w:r>
            <w:r>
              <w:rPr>
                <w:rFonts w:ascii="SimSun" w:hAnsi="SimSun" w:eastAsia="SimSun" w:cs="SimSun"/>
                <w:sz w:val="22"/>
                <w:szCs w:val="22"/>
                <w:spacing w:val="-72"/>
              </w:rPr>
              <w:t xml:space="preserve"> </w:t>
            </w:r>
            <w:r>
              <w:rPr>
                <w:rFonts w:ascii="SimSun" w:hAnsi="SimSun" w:eastAsia="SimSun" w:cs="SimSun"/>
                <w:sz w:val="22"/>
                <w:szCs w:val="22"/>
                <w:spacing w:val="-10"/>
              </w:rPr>
              <w:t>9</w:t>
            </w:r>
          </w:hyperlink>
        </w:p>
        <w:p>
          <w:pPr>
            <w:ind w:left="17"/>
            <w:spacing w:before="174" w:line="220" w:lineRule="auto"/>
            <w:tabs>
              <w:tab w:val="right" w:leader="dot" w:pos="8710"/>
            </w:tabs>
            <w:rPr>
              <w:rFonts w:ascii="SimSun" w:hAnsi="SimSun" w:eastAsia="SimSun" w:cs="SimSun"/>
              <w:sz w:val="22"/>
              <w:szCs w:val="22"/>
            </w:rPr>
          </w:pPr>
          <w:hyperlink w:history="true" w:anchor="bookmark12">
            <w:r>
              <w:rPr>
                <w:rFonts w:ascii="SimSun" w:hAnsi="SimSun" w:eastAsia="SimSun" w:cs="SimSun"/>
                <w:sz w:val="22"/>
                <w:szCs w:val="22"/>
                <w:spacing w:val="-4"/>
              </w:rPr>
              <w:t>11 标志和使用</w:t>
            </w:r>
            <w:r>
              <w:rPr>
                <w:rFonts w:ascii="SimSun" w:hAnsi="SimSun" w:eastAsia="SimSun" w:cs="SimSun"/>
                <w:sz w:val="22"/>
                <w:szCs w:val="22"/>
                <w:spacing w:val="-91"/>
              </w:rPr>
              <w:t xml:space="preserve"> </w:t>
            </w:r>
            <w:r>
              <w:rPr>
                <w:rFonts w:ascii="SimSun" w:hAnsi="SimSun" w:eastAsia="SimSun" w:cs="SimSun"/>
                <w:sz w:val="22"/>
                <w:szCs w:val="22"/>
              </w:rPr>
              <w:tab/>
            </w:r>
            <w:r>
              <w:rPr>
                <w:rFonts w:ascii="SimSun" w:hAnsi="SimSun" w:eastAsia="SimSun" w:cs="SimSun"/>
                <w:sz w:val="22"/>
                <w:szCs w:val="22"/>
                <w:spacing w:val="-70"/>
              </w:rPr>
              <w:t xml:space="preserve"> </w:t>
            </w:r>
            <w:r>
              <w:rPr>
                <w:rFonts w:ascii="SimSun" w:hAnsi="SimSun" w:eastAsia="SimSun" w:cs="SimSun"/>
                <w:sz w:val="22"/>
                <w:szCs w:val="22"/>
                <w:spacing w:val="-10"/>
              </w:rPr>
              <w:t>9</w:t>
            </w:r>
          </w:hyperlink>
        </w:p>
        <w:p>
          <w:pPr>
            <w:ind w:left="18"/>
            <w:spacing w:before="175" w:line="219" w:lineRule="auto"/>
            <w:tabs>
              <w:tab w:val="right" w:leader="dot" w:pos="8710"/>
            </w:tabs>
            <w:rPr>
              <w:rFonts w:ascii="SimSun" w:hAnsi="SimSun" w:eastAsia="SimSun" w:cs="SimSun"/>
              <w:sz w:val="22"/>
              <w:szCs w:val="22"/>
            </w:rPr>
          </w:pPr>
          <w:hyperlink w:history="true" w:anchor="bookmark13">
            <w:r>
              <w:rPr>
                <w:rFonts w:ascii="SimSun" w:hAnsi="SimSun" w:eastAsia="SimSun" w:cs="SimSun"/>
                <w:sz w:val="22"/>
                <w:szCs w:val="22"/>
                <w:spacing w:val="-1"/>
              </w:rPr>
              <w:t>附录 A（规范性）中国非物质文化遗产创新品牌来源标签</w:t>
            </w:r>
            <w:r>
              <w:rPr>
                <w:rFonts w:ascii="SimSun" w:hAnsi="SimSun" w:eastAsia="SimSun" w:cs="SimSun"/>
                <w:sz w:val="22"/>
                <w:szCs w:val="22"/>
                <w:spacing w:val="-97"/>
              </w:rPr>
              <w:t xml:space="preserve"> </w:t>
            </w:r>
            <w:r>
              <w:rPr>
                <w:rFonts w:ascii="SimSun" w:hAnsi="SimSun" w:eastAsia="SimSun" w:cs="SimSun"/>
                <w:sz w:val="22"/>
                <w:szCs w:val="22"/>
              </w:rPr>
              <w:tab/>
            </w:r>
            <w:r>
              <w:rPr>
                <w:rFonts w:ascii="SimSun" w:hAnsi="SimSun" w:eastAsia="SimSun" w:cs="SimSun"/>
                <w:sz w:val="22"/>
                <w:szCs w:val="22"/>
                <w:spacing w:val="-54"/>
              </w:rPr>
              <w:t xml:space="preserve"> </w:t>
            </w:r>
            <w:r>
              <w:rPr>
                <w:rFonts w:ascii="SimSun" w:hAnsi="SimSun" w:eastAsia="SimSun" w:cs="SimSun"/>
                <w:sz w:val="22"/>
                <w:szCs w:val="22"/>
                <w:spacing w:val="-13"/>
              </w:rPr>
              <w:t>11</w:t>
            </w:r>
          </w:hyperlink>
        </w:p>
        <w:p>
          <w:pPr>
            <w:ind w:left="18"/>
            <w:spacing w:before="176" w:line="219" w:lineRule="auto"/>
            <w:tabs>
              <w:tab w:val="right" w:leader="dot" w:pos="8710"/>
            </w:tabs>
            <w:rPr>
              <w:rFonts w:ascii="SimSun" w:hAnsi="SimSun" w:eastAsia="SimSun" w:cs="SimSun"/>
              <w:sz w:val="22"/>
              <w:szCs w:val="22"/>
            </w:rPr>
          </w:pPr>
          <w:hyperlink w:history="true" w:anchor="bookmark14">
            <w:r>
              <w:rPr>
                <w:rFonts w:ascii="SimSun" w:hAnsi="SimSun" w:eastAsia="SimSun" w:cs="SimSun"/>
                <w:sz w:val="22"/>
                <w:szCs w:val="22"/>
                <w:spacing w:val="-2"/>
              </w:rPr>
              <w:t>附录 B（规范性）评定指标及评分规则</w:t>
            </w:r>
            <w:r>
              <w:rPr>
                <w:rFonts w:ascii="SimSun" w:hAnsi="SimSun" w:eastAsia="SimSun" w:cs="SimSun"/>
                <w:sz w:val="22"/>
                <w:szCs w:val="22"/>
                <w:spacing w:val="-86"/>
              </w:rPr>
              <w:t xml:space="preserve"> </w:t>
            </w:r>
            <w:r>
              <w:rPr>
                <w:rFonts w:ascii="SimSun" w:hAnsi="SimSun" w:eastAsia="SimSun" w:cs="SimSun"/>
                <w:sz w:val="22"/>
                <w:szCs w:val="22"/>
              </w:rPr>
              <w:tab/>
            </w:r>
            <w:r>
              <w:rPr>
                <w:rFonts w:ascii="SimSun" w:hAnsi="SimSun" w:eastAsia="SimSun" w:cs="SimSun"/>
                <w:sz w:val="22"/>
                <w:szCs w:val="22"/>
                <w:spacing w:val="-55"/>
              </w:rPr>
              <w:t xml:space="preserve"> </w:t>
            </w:r>
            <w:r>
              <w:rPr>
                <w:rFonts w:ascii="SimSun" w:hAnsi="SimSun" w:eastAsia="SimSun" w:cs="SimSun"/>
                <w:sz w:val="22"/>
                <w:szCs w:val="22"/>
                <w:spacing w:val="-13"/>
              </w:rPr>
              <w:t>12</w:t>
            </w:r>
          </w:hyperlink>
        </w:p>
        <w:p>
          <w:pPr>
            <w:ind w:left="18"/>
            <w:spacing w:before="176" w:line="219" w:lineRule="auto"/>
            <w:tabs>
              <w:tab w:val="right" w:leader="dot" w:pos="8710"/>
            </w:tabs>
            <w:rPr>
              <w:rFonts w:ascii="SimSun" w:hAnsi="SimSun" w:eastAsia="SimSun" w:cs="SimSun"/>
              <w:sz w:val="22"/>
              <w:szCs w:val="22"/>
            </w:rPr>
          </w:pPr>
          <w:hyperlink w:history="true" w:anchor="bookmark15">
            <w:r>
              <w:rPr>
                <w:rFonts w:ascii="SimSun" w:hAnsi="SimSun" w:eastAsia="SimSun" w:cs="SimSun"/>
                <w:sz w:val="22"/>
                <w:szCs w:val="22"/>
                <w:spacing w:val="-2"/>
              </w:rPr>
              <w:t>附录 C（规范性）起源创始人申报书</w:t>
            </w:r>
            <w:r>
              <w:rPr>
                <w:rFonts w:ascii="SimSun" w:hAnsi="SimSun" w:eastAsia="SimSun" w:cs="SimSun"/>
                <w:sz w:val="22"/>
                <w:szCs w:val="22"/>
                <w:spacing w:val="-89"/>
              </w:rPr>
              <w:t xml:space="preserve"> </w:t>
            </w:r>
            <w:r>
              <w:rPr>
                <w:rFonts w:ascii="SimSun" w:hAnsi="SimSun" w:eastAsia="SimSun" w:cs="SimSun"/>
                <w:sz w:val="22"/>
                <w:szCs w:val="22"/>
              </w:rPr>
              <w:tab/>
            </w:r>
            <w:r>
              <w:rPr>
                <w:rFonts w:ascii="SimSun" w:hAnsi="SimSun" w:eastAsia="SimSun" w:cs="SimSun"/>
                <w:sz w:val="22"/>
                <w:szCs w:val="22"/>
                <w:spacing w:val="-54"/>
              </w:rPr>
              <w:t xml:space="preserve"> </w:t>
            </w:r>
            <w:r>
              <w:rPr>
                <w:rFonts w:ascii="SimSun" w:hAnsi="SimSun" w:eastAsia="SimSun" w:cs="SimSun"/>
                <w:sz w:val="22"/>
                <w:szCs w:val="22"/>
                <w:spacing w:val="-18"/>
              </w:rPr>
              <w:t>1</w:t>
            </w:r>
            <w:r>
              <w:rPr>
                <w:rFonts w:ascii="SimSun" w:hAnsi="SimSun" w:eastAsia="SimSun" w:cs="SimSun"/>
                <w:sz w:val="22"/>
                <w:szCs w:val="22"/>
                <w:spacing w:val="-8"/>
              </w:rPr>
              <w:t>4</w:t>
            </w:r>
          </w:hyperlink>
        </w:p>
        <w:p>
          <w:pPr>
            <w:ind w:left="18"/>
            <w:spacing w:before="173" w:line="219" w:lineRule="auto"/>
            <w:tabs>
              <w:tab w:val="right" w:leader="dot" w:pos="8710"/>
            </w:tabs>
            <w:rPr>
              <w:rFonts w:ascii="SimSun" w:hAnsi="SimSun" w:eastAsia="SimSun" w:cs="SimSun"/>
              <w:sz w:val="22"/>
              <w:szCs w:val="22"/>
            </w:rPr>
          </w:pPr>
          <w:hyperlink w:history="true" w:anchor="bookmark16">
            <w:r>
              <w:rPr>
                <w:rFonts w:ascii="SimSun" w:hAnsi="SimSun" w:eastAsia="SimSun" w:cs="SimSun"/>
                <w:sz w:val="22"/>
                <w:szCs w:val="22"/>
                <w:spacing w:val="-2"/>
              </w:rPr>
              <w:t>附录 D（规范性）评定等级标准</w:t>
            </w:r>
            <w:r>
              <w:rPr>
                <w:rFonts w:ascii="SimSun" w:hAnsi="SimSun" w:eastAsia="SimSun" w:cs="SimSun"/>
                <w:sz w:val="22"/>
                <w:szCs w:val="22"/>
                <w:spacing w:val="-92"/>
              </w:rPr>
              <w:t xml:space="preserve"> </w:t>
            </w:r>
            <w:r>
              <w:rPr>
                <w:rFonts w:ascii="SimSun" w:hAnsi="SimSun" w:eastAsia="SimSun" w:cs="SimSun"/>
                <w:sz w:val="22"/>
                <w:szCs w:val="22"/>
              </w:rPr>
              <w:tab/>
            </w:r>
            <w:r>
              <w:rPr>
                <w:rFonts w:ascii="SimSun" w:hAnsi="SimSun" w:eastAsia="SimSun" w:cs="SimSun"/>
                <w:sz w:val="22"/>
                <w:szCs w:val="22"/>
                <w:spacing w:val="-55"/>
              </w:rPr>
              <w:t xml:space="preserve"> </w:t>
            </w:r>
            <w:r>
              <w:rPr>
                <w:rFonts w:ascii="SimSun" w:hAnsi="SimSun" w:eastAsia="SimSun" w:cs="SimSun"/>
                <w:sz w:val="22"/>
                <w:szCs w:val="22"/>
                <w:spacing w:val="-13"/>
              </w:rPr>
              <w:t>15</w:t>
            </w:r>
          </w:hyperlink>
        </w:p>
        <w:p>
          <w:pPr>
            <w:ind w:left="18"/>
            <w:spacing w:before="178" w:line="219" w:lineRule="auto"/>
            <w:tabs>
              <w:tab w:val="right" w:leader="dot" w:pos="8710"/>
            </w:tabs>
            <w:rPr>
              <w:rFonts w:ascii="SimSun" w:hAnsi="SimSun" w:eastAsia="SimSun" w:cs="SimSun"/>
              <w:sz w:val="22"/>
              <w:szCs w:val="22"/>
            </w:rPr>
          </w:pPr>
          <w:hyperlink w:history="true" w:anchor="bookmark17">
            <w:r>
              <w:rPr>
                <w:rFonts w:ascii="SimSun" w:hAnsi="SimSun" w:eastAsia="SimSun" w:cs="SimSun"/>
                <w:sz w:val="22"/>
                <w:szCs w:val="22"/>
                <w:spacing w:val="-1"/>
              </w:rPr>
              <w:t>附录 E（资料性）持续推动中国非物质文化遗产创新品牌竞争力提升</w:t>
            </w:r>
            <w:r>
              <w:rPr>
                <w:rFonts w:ascii="SimSun" w:hAnsi="SimSun" w:eastAsia="SimSun" w:cs="SimSun"/>
                <w:sz w:val="22"/>
                <w:szCs w:val="22"/>
                <w:spacing w:val="-91"/>
              </w:rPr>
              <w:t xml:space="preserve"> </w:t>
            </w:r>
            <w:r>
              <w:rPr>
                <w:rFonts w:ascii="SimSun" w:hAnsi="SimSun" w:eastAsia="SimSun" w:cs="SimSun"/>
                <w:sz w:val="22"/>
                <w:szCs w:val="22"/>
              </w:rPr>
              <w:tab/>
            </w:r>
            <w:r>
              <w:rPr>
                <w:rFonts w:ascii="SimSun" w:hAnsi="SimSun" w:eastAsia="SimSun" w:cs="SimSun"/>
                <w:sz w:val="22"/>
                <w:szCs w:val="22"/>
                <w:spacing w:val="-56"/>
              </w:rPr>
              <w:t xml:space="preserve"> </w:t>
            </w:r>
            <w:r>
              <w:rPr>
                <w:rFonts w:ascii="SimSun" w:hAnsi="SimSun" w:eastAsia="SimSun" w:cs="SimSun"/>
                <w:sz w:val="22"/>
                <w:szCs w:val="22"/>
                <w:spacing w:val="-14"/>
              </w:rPr>
              <w:t>1</w:t>
            </w:r>
            <w:r>
              <w:rPr>
                <w:rFonts w:ascii="SimSun" w:hAnsi="SimSun" w:eastAsia="SimSun" w:cs="SimSun"/>
                <w:sz w:val="22"/>
                <w:szCs w:val="22"/>
                <w:spacing w:val="-12"/>
              </w:rPr>
              <w:t>6</w:t>
            </w:r>
          </w:hyperlink>
        </w:p>
      </w:sdtContent>
    </w:sdt>
    <w:p>
      <w:pPr>
        <w:spacing w:line="219" w:lineRule="auto"/>
        <w:sectPr>
          <w:headerReference w:type="default" r:id="rId4"/>
          <w:pgSz w:w="11906" w:h="16839"/>
          <w:pgMar w:top="400" w:right="1597" w:bottom="0" w:left="1596" w:header="0" w:footer="0" w:gutter="0"/>
        </w:sectPr>
        <w:rPr>
          <w:rFonts w:ascii="SimSun" w:hAnsi="SimSun" w:eastAsia="SimSun" w:cs="SimSun"/>
          <w:sz w:val="22"/>
          <w:szCs w:val="22"/>
        </w:rPr>
      </w:pPr>
    </w:p>
    <w:p>
      <w:pPr>
        <w:pStyle w:val="BodyText"/>
        <w:spacing w:line="287" w:lineRule="auto"/>
        <w:rPr/>
      </w:pPr>
      <w:r/>
    </w:p>
    <w:p>
      <w:pPr>
        <w:pStyle w:val="BodyText"/>
        <w:spacing w:line="287" w:lineRule="auto"/>
        <w:rPr/>
      </w:pPr>
      <w:r/>
    </w:p>
    <w:p>
      <w:pPr>
        <w:pStyle w:val="BodyText"/>
        <w:spacing w:line="287" w:lineRule="auto"/>
        <w:rPr/>
      </w:pPr>
      <w:r/>
    </w:p>
    <w:p>
      <w:pPr>
        <w:pStyle w:val="BodyText"/>
        <w:spacing w:line="287" w:lineRule="auto"/>
        <w:rPr/>
      </w:pPr>
      <w:r/>
    </w:p>
    <w:p>
      <w:pPr>
        <w:ind w:left="3965"/>
        <w:spacing w:before="101" w:line="228" w:lineRule="auto"/>
        <w:outlineLvl w:val="0"/>
        <w:rPr>
          <w:rFonts w:ascii="SimHei" w:hAnsi="SimHei" w:eastAsia="SimHei" w:cs="SimHei"/>
          <w:sz w:val="31"/>
          <w:szCs w:val="31"/>
        </w:rPr>
      </w:pPr>
      <w:bookmarkStart w:name="bookmark1" w:id="1"/>
      <w:bookmarkEnd w:id="1"/>
      <w:r>
        <w:rPr>
          <w:rFonts w:ascii="SimHei" w:hAnsi="SimHei" w:eastAsia="SimHei" w:cs="SimHei"/>
          <w:sz w:val="31"/>
          <w:szCs w:val="31"/>
          <w:b/>
          <w:bCs/>
          <w:spacing w:val="-5"/>
        </w:rPr>
        <w:t>前</w:t>
      </w:r>
      <w:r>
        <w:rPr>
          <w:rFonts w:ascii="SimHei" w:hAnsi="SimHei" w:eastAsia="SimHei" w:cs="SimHei"/>
          <w:sz w:val="31"/>
          <w:szCs w:val="31"/>
          <w:spacing w:val="33"/>
        </w:rPr>
        <w:t xml:space="preserve"> </w:t>
      </w:r>
      <w:r>
        <w:rPr>
          <w:rFonts w:ascii="SimHei" w:hAnsi="SimHei" w:eastAsia="SimHei" w:cs="SimHei"/>
          <w:sz w:val="31"/>
          <w:szCs w:val="31"/>
          <w:b/>
          <w:bCs/>
          <w:spacing w:val="-5"/>
        </w:rPr>
        <w:t>言</w:t>
      </w:r>
    </w:p>
    <w:p>
      <w:pPr>
        <w:pStyle w:val="BodyText"/>
        <w:spacing w:line="445" w:lineRule="auto"/>
        <w:rPr/>
      </w:pPr>
      <w:r/>
    </w:p>
    <w:p>
      <w:pPr>
        <w:ind w:firstLine="420"/>
        <w:spacing w:before="65" w:line="252" w:lineRule="auto"/>
        <w:rPr>
          <w:rFonts w:ascii="SimSun" w:hAnsi="SimSun" w:eastAsia="SimSun" w:cs="SimSun"/>
          <w:sz w:val="20"/>
          <w:szCs w:val="20"/>
        </w:rPr>
      </w:pPr>
      <w:r>
        <w:rPr>
          <w:rFonts w:ascii="SimSun" w:hAnsi="SimSun" w:eastAsia="SimSun" w:cs="SimSun"/>
          <w:sz w:val="20"/>
          <w:szCs w:val="20"/>
          <w:spacing w:val="7"/>
        </w:rPr>
        <w:t>本文件按照</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/T</w:t>
      </w:r>
      <w:r>
        <w:rPr>
          <w:rFonts w:ascii="Times New Roman" w:hAnsi="Times New Roman" w:eastAsia="Times New Roman" w:cs="Times New Roman"/>
          <w:sz w:val="20"/>
          <w:szCs w:val="20"/>
          <w:spacing w:val="37"/>
          <w:w w:val="101"/>
        </w:rPr>
        <w:t xml:space="preserve"> </w:t>
      </w:r>
      <w:r>
        <w:rPr>
          <w:rFonts w:ascii="Times New Roman" w:hAnsi="Times New Roman" w:eastAsia="Times New Roman" w:cs="Times New Roman"/>
          <w:sz w:val="20"/>
          <w:szCs w:val="20"/>
          <w:spacing w:val="7"/>
        </w:rPr>
        <w:t>1.1</w:t>
      </w:r>
      <w:r>
        <w:rPr>
          <w:rFonts w:ascii="SimSun" w:hAnsi="SimSun" w:eastAsia="SimSun" w:cs="SimSun"/>
          <w:sz w:val="20"/>
          <w:szCs w:val="20"/>
          <w:spacing w:val="7"/>
        </w:rPr>
        <w:t>—</w:t>
      </w:r>
      <w:r>
        <w:rPr>
          <w:rFonts w:ascii="Times New Roman" w:hAnsi="Times New Roman" w:eastAsia="Times New Roman" w:cs="Times New Roman"/>
          <w:sz w:val="20"/>
          <w:szCs w:val="20"/>
          <w:spacing w:val="7"/>
        </w:rPr>
        <w:t>2020</w:t>
      </w:r>
      <w:r>
        <w:rPr>
          <w:rFonts w:ascii="SimSun" w:hAnsi="SimSun" w:eastAsia="SimSun" w:cs="SimSun"/>
          <w:sz w:val="20"/>
          <w:szCs w:val="20"/>
          <w:spacing w:val="7"/>
        </w:rPr>
        <w:t>《标准化工作导则 第</w:t>
      </w:r>
      <w:r>
        <w:rPr>
          <w:rFonts w:ascii="Times New Roman" w:hAnsi="Times New Roman" w:eastAsia="Times New Roman" w:cs="Times New Roman"/>
          <w:sz w:val="20"/>
          <w:szCs w:val="20"/>
          <w:spacing w:val="7"/>
        </w:rPr>
        <w:t>1</w:t>
      </w:r>
      <w:r>
        <w:rPr>
          <w:rFonts w:ascii="SimSun" w:hAnsi="SimSun" w:eastAsia="SimSun" w:cs="SimSun"/>
          <w:sz w:val="20"/>
          <w:szCs w:val="20"/>
          <w:spacing w:val="7"/>
        </w:rPr>
        <w:t>部分：标准化文件的结构和起草规则》的</w:t>
      </w:r>
      <w:r>
        <w:rPr>
          <w:rFonts w:ascii="SimSun" w:hAnsi="SimSun" w:eastAsia="SimSun" w:cs="SimSun"/>
          <w:sz w:val="20"/>
          <w:szCs w:val="20"/>
          <w:spacing w:val="5"/>
        </w:rPr>
        <w:t>规定起草。</w:t>
      </w:r>
    </w:p>
    <w:p>
      <w:pPr>
        <w:ind w:left="419" w:right="157" w:hanging="2"/>
        <w:spacing w:before="156" w:line="395" w:lineRule="auto"/>
        <w:rPr>
          <w:rFonts w:ascii="SimSun" w:hAnsi="SimSun" w:eastAsia="SimSun" w:cs="SimSun"/>
          <w:sz w:val="20"/>
          <w:szCs w:val="20"/>
        </w:rPr>
      </w:pPr>
      <w:r>
        <w:rPr>
          <w:rFonts w:ascii="SimSun" w:hAnsi="SimSun" w:eastAsia="SimSun" w:cs="SimSun"/>
          <w:sz w:val="20"/>
          <w:szCs w:val="20"/>
          <w:spacing w:val="9"/>
        </w:rPr>
        <w:t>请注意本文件的某些内容可能涉及专利。本文件的发布机构不承担识别这些专</w:t>
      </w:r>
      <w:r>
        <w:rPr>
          <w:rFonts w:ascii="SimSun" w:hAnsi="SimSun" w:eastAsia="SimSun" w:cs="SimSun"/>
          <w:sz w:val="20"/>
          <w:szCs w:val="20"/>
          <w:spacing w:val="8"/>
        </w:rPr>
        <w:t>利的责任。</w:t>
      </w:r>
      <w:r>
        <w:rPr>
          <w:rFonts w:ascii="SimSun" w:hAnsi="SimSun" w:eastAsia="SimSun" w:cs="SimSun"/>
          <w:sz w:val="20"/>
          <w:szCs w:val="20"/>
          <w:spacing w:val="9"/>
        </w:rPr>
        <w:t>本文件由起源地文化传播（北京）中心、起源地（北京）文旅管理有限公司提出。</w:t>
      </w:r>
    </w:p>
    <w:p>
      <w:pPr>
        <w:ind w:left="420"/>
        <w:spacing w:line="227" w:lineRule="auto"/>
        <w:rPr>
          <w:rFonts w:ascii="SimSun" w:hAnsi="SimSun" w:eastAsia="SimSun" w:cs="SimSun"/>
          <w:sz w:val="20"/>
          <w:szCs w:val="20"/>
        </w:rPr>
      </w:pPr>
      <w:r>
        <w:rPr>
          <w:rFonts w:ascii="SimSun" w:hAnsi="SimSun" w:eastAsia="SimSun" w:cs="SimSun"/>
          <w:sz w:val="20"/>
          <w:szCs w:val="20"/>
          <w:spacing w:val="8"/>
        </w:rPr>
        <w:t>本文件由中国民族贸易促进会归口。</w:t>
      </w:r>
    </w:p>
    <w:p>
      <w:pPr>
        <w:ind w:left="420"/>
        <w:spacing w:before="181" w:line="227" w:lineRule="auto"/>
        <w:rPr>
          <w:rFonts w:ascii="Times New Roman" w:hAnsi="Times New Roman" w:eastAsia="Times New Roman" w:cs="Times New Roman"/>
          <w:sz w:val="20"/>
          <w:szCs w:val="20"/>
        </w:rPr>
      </w:pPr>
      <w:r>
        <w:rPr>
          <w:rFonts w:ascii="SimSun" w:hAnsi="SimSun" w:eastAsia="SimSun" w:cs="SimSun"/>
          <w:sz w:val="20"/>
          <w:szCs w:val="20"/>
          <w:spacing w:val="7"/>
        </w:rPr>
        <w:t>本文件起草单位</w:t>
      </w:r>
      <w:r>
        <w:rPr>
          <w:rFonts w:ascii="Times New Roman" w:hAnsi="Times New Roman" w:eastAsia="Times New Roman" w:cs="Times New Roman"/>
          <w:sz w:val="20"/>
          <w:szCs w:val="20"/>
          <w:spacing w:val="7"/>
        </w:rPr>
        <w:t>:</w:t>
      </w:r>
    </w:p>
    <w:p>
      <w:pPr>
        <w:ind w:left="420"/>
        <w:spacing w:before="183" w:line="227" w:lineRule="auto"/>
        <w:rPr>
          <w:rFonts w:ascii="SimSun" w:hAnsi="SimSun" w:eastAsia="SimSun" w:cs="SimSun"/>
          <w:sz w:val="20"/>
          <w:szCs w:val="20"/>
        </w:rPr>
      </w:pPr>
      <w:r>
        <w:rPr>
          <w:rFonts w:ascii="SimSun" w:hAnsi="SimSun" w:eastAsia="SimSun" w:cs="SimSun"/>
          <w:sz w:val="20"/>
          <w:szCs w:val="20"/>
          <w:spacing w:val="7"/>
        </w:rPr>
        <w:t>本文件主要起草人：</w:t>
      </w:r>
    </w:p>
    <w:p>
      <w:pPr>
        <w:spacing w:line="227" w:lineRule="auto"/>
        <w:sectPr>
          <w:footerReference w:type="default" r:id="rId5"/>
          <w:pgSz w:w="11906" w:h="16839"/>
          <w:pgMar w:top="400" w:right="1585" w:bottom="1001" w:left="1597" w:header="0" w:footer="836" w:gutter="0"/>
        </w:sectPr>
        <w:rPr>
          <w:rFonts w:ascii="SimSun" w:hAnsi="SimSun" w:eastAsia="SimSun" w:cs="SimSun"/>
          <w:sz w:val="20"/>
          <w:szCs w:val="20"/>
        </w:rPr>
      </w:pP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1" w:lineRule="auto"/>
        <w:rPr/>
      </w:pPr>
      <w:r/>
    </w:p>
    <w:p>
      <w:pPr>
        <w:ind w:left="1677"/>
        <w:spacing w:before="101" w:line="226" w:lineRule="auto"/>
        <w:rPr>
          <w:rFonts w:ascii="SimHei" w:hAnsi="SimHei" w:eastAsia="SimHei" w:cs="SimHei"/>
          <w:sz w:val="31"/>
          <w:szCs w:val="31"/>
        </w:rPr>
      </w:pPr>
      <w:bookmarkStart w:name="bookmark2" w:id="2"/>
      <w:bookmarkEnd w:id="2"/>
      <w:r>
        <w:rPr>
          <w:rFonts w:ascii="SimHei" w:hAnsi="SimHei" w:eastAsia="SimHei" w:cs="SimHei"/>
          <w:sz w:val="31"/>
          <w:szCs w:val="31"/>
          <w:spacing w:val="7"/>
        </w:rPr>
        <w:t>中国非物质文化遗产创新品牌评定标准</w:t>
      </w:r>
    </w:p>
    <w:p>
      <w:pPr>
        <w:pStyle w:val="BodyText"/>
        <w:spacing w:line="250" w:lineRule="auto"/>
        <w:rPr/>
      </w:pPr>
      <w:r/>
    </w:p>
    <w:p>
      <w:pPr>
        <w:pStyle w:val="BodyText"/>
        <w:spacing w:line="250" w:lineRule="auto"/>
        <w:rPr/>
      </w:pPr>
      <w:r/>
    </w:p>
    <w:p>
      <w:pPr>
        <w:pStyle w:val="BodyText"/>
        <w:spacing w:line="251" w:lineRule="auto"/>
        <w:rPr/>
      </w:pPr>
      <w:r/>
    </w:p>
    <w:p>
      <w:pPr>
        <w:ind w:left="21"/>
        <w:spacing w:before="65" w:line="231" w:lineRule="auto"/>
        <w:outlineLvl w:val="0"/>
        <w:rPr>
          <w:rFonts w:ascii="SimHei" w:hAnsi="SimHei" w:eastAsia="SimHei" w:cs="SimHei"/>
          <w:sz w:val="20"/>
          <w:szCs w:val="20"/>
        </w:rPr>
      </w:pPr>
      <w:bookmarkStart w:name="bookmark18" w:id="3"/>
      <w:bookmarkEnd w:id="3"/>
      <w:r>
        <w:rPr>
          <w:rFonts w:ascii="Times New Roman" w:hAnsi="Times New Roman" w:eastAsia="Times New Roman" w:cs="Times New Roman"/>
          <w:sz w:val="20"/>
          <w:szCs w:val="20"/>
          <w:spacing w:val="-3"/>
        </w:rPr>
        <w:t>1.</w:t>
      </w:r>
      <w:r>
        <w:rPr>
          <w:rFonts w:ascii="Times New Roman" w:hAnsi="Times New Roman" w:eastAsia="Times New Roman" w:cs="Times New Roman"/>
          <w:sz w:val="20"/>
          <w:szCs w:val="20"/>
          <w:spacing w:val="7"/>
        </w:rPr>
        <w:t xml:space="preserve">  </w:t>
      </w:r>
      <w:r>
        <w:rPr>
          <w:rFonts w:ascii="SimHei" w:hAnsi="SimHei" w:eastAsia="SimHei" w:cs="SimHei"/>
          <w:sz w:val="20"/>
          <w:szCs w:val="20"/>
          <w:spacing w:val="-3"/>
        </w:rPr>
        <w:t>范围</w:t>
      </w:r>
    </w:p>
    <w:p>
      <w:pPr>
        <w:ind w:left="4" w:right="16" w:firstLine="420"/>
        <w:spacing w:before="177" w:line="378" w:lineRule="auto"/>
        <w:jc w:val="both"/>
        <w:rPr>
          <w:rFonts w:ascii="SimSun" w:hAnsi="SimSun" w:eastAsia="SimSun" w:cs="SimSun"/>
          <w:sz w:val="20"/>
          <w:szCs w:val="20"/>
        </w:rPr>
      </w:pPr>
      <w:r>
        <w:rPr>
          <w:rFonts w:ascii="SimSun" w:hAnsi="SimSun" w:eastAsia="SimSun" w:cs="SimSun"/>
          <w:sz w:val="20"/>
          <w:szCs w:val="20"/>
          <w:spacing w:val="9"/>
        </w:rPr>
        <w:t>本文件规定了中国非物质文化遗产创新品牌评定要求的合规性要求、基本原</w:t>
      </w:r>
      <w:r>
        <w:rPr>
          <w:rFonts w:ascii="SimSun" w:hAnsi="SimSun" w:eastAsia="SimSun" w:cs="SimSun"/>
          <w:sz w:val="20"/>
          <w:szCs w:val="20"/>
          <w:spacing w:val="8"/>
        </w:rPr>
        <w:t>则、评定指标、</w:t>
      </w:r>
      <w:r>
        <w:rPr>
          <w:rFonts w:ascii="SimSun" w:hAnsi="SimSun" w:eastAsia="SimSun" w:cs="SimSun"/>
          <w:sz w:val="20"/>
          <w:szCs w:val="20"/>
          <w:spacing w:val="8"/>
        </w:rPr>
        <w:t>来源体系、管理体系、工作程序、评定方法、标志和使用</w:t>
      </w:r>
      <w:r>
        <w:rPr>
          <w:rFonts w:ascii="SimSun" w:hAnsi="SimSun" w:eastAsia="SimSun" w:cs="SimSun"/>
          <w:sz w:val="20"/>
          <w:szCs w:val="20"/>
          <w:spacing w:val="7"/>
        </w:rPr>
        <w:t>等内容。本文件适用于企事业单位、非</w:t>
      </w:r>
      <w:r>
        <w:rPr>
          <w:rFonts w:ascii="SimSun" w:hAnsi="SimSun" w:eastAsia="SimSun" w:cs="SimSun"/>
          <w:sz w:val="20"/>
          <w:szCs w:val="20"/>
          <w:spacing w:val="9"/>
        </w:rPr>
        <w:t>物质文化遗产传承人、起源创始人、品牌创始人等。</w:t>
      </w:r>
    </w:p>
    <w:p>
      <w:pPr>
        <w:ind w:left="3" w:firstLine="422"/>
        <w:spacing w:before="153" w:line="377" w:lineRule="auto"/>
        <w:jc w:val="both"/>
        <w:rPr>
          <w:rFonts w:ascii="SimSun" w:hAnsi="SimSun" w:eastAsia="SimSun" w:cs="SimSun"/>
          <w:sz w:val="20"/>
          <w:szCs w:val="20"/>
        </w:rPr>
      </w:pPr>
      <w:r>
        <w:rPr>
          <w:rFonts w:ascii="SimSun" w:hAnsi="SimSun" w:eastAsia="SimSun" w:cs="SimSun"/>
          <w:sz w:val="20"/>
          <w:szCs w:val="20"/>
          <w:spacing w:val="7"/>
        </w:rPr>
        <w:t>本文件适用于持有县级及以上非遗项目的代表性传承人创办的品牌、传习工作室品牌；依托</w:t>
      </w:r>
      <w:r>
        <w:rPr>
          <w:rFonts w:ascii="SimSun" w:hAnsi="SimSun" w:eastAsia="SimSun" w:cs="SimSun"/>
          <w:sz w:val="20"/>
          <w:szCs w:val="20"/>
          <w:spacing w:val="8"/>
        </w:rPr>
        <w:t>在册非遗项目开展文创、文旅、工艺改良、数字 </w:t>
      </w:r>
      <w:r>
        <w:rPr>
          <w:rFonts w:ascii="Times New Roman" w:hAnsi="Times New Roman" w:eastAsia="Times New Roman" w:cs="Times New Roman"/>
          <w:sz w:val="20"/>
          <w:szCs w:val="20"/>
        </w:rPr>
        <w:t>IP</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8"/>
        </w:rPr>
        <w:t>开发的企业、民办非企业、行业协会；地方</w:t>
      </w:r>
      <w:r>
        <w:rPr>
          <w:rFonts w:ascii="SimSun" w:hAnsi="SimSun" w:eastAsia="SimSun" w:cs="SimSun"/>
          <w:sz w:val="20"/>
          <w:szCs w:val="20"/>
          <w:spacing w:val="5"/>
        </w:rPr>
        <w:t>政府、社会团体打造的区域非遗公共品牌；传</w:t>
      </w:r>
      <w:r>
        <w:rPr>
          <w:rFonts w:ascii="SimSun" w:hAnsi="SimSun" w:eastAsia="SimSun" w:cs="SimSun"/>
          <w:sz w:val="20"/>
          <w:szCs w:val="20"/>
          <w:spacing w:val="4"/>
        </w:rPr>
        <w:t>统美术、传统技艺、传统医药、戏曲、曲艺、民俗、</w:t>
      </w:r>
      <w:r>
        <w:rPr>
          <w:rFonts w:ascii="SimSun" w:hAnsi="SimSun" w:eastAsia="SimSun" w:cs="SimSun"/>
          <w:sz w:val="20"/>
          <w:szCs w:val="20"/>
          <w:spacing w:val="9"/>
        </w:rPr>
        <w:t>传统舞蹈、传统体育游艺类等非遗衍生创新品牌的主体。</w:t>
      </w:r>
    </w:p>
    <w:p>
      <w:pPr>
        <w:ind w:left="1"/>
        <w:spacing w:before="153" w:line="230" w:lineRule="auto"/>
        <w:outlineLvl w:val="0"/>
        <w:rPr>
          <w:rFonts w:ascii="SimHei" w:hAnsi="SimHei" w:eastAsia="SimHei" w:cs="SimHei"/>
          <w:sz w:val="20"/>
          <w:szCs w:val="20"/>
        </w:rPr>
      </w:pPr>
      <w:bookmarkStart w:name="bookmark3" w:id="4"/>
      <w:bookmarkEnd w:id="4"/>
      <w:r>
        <w:rPr>
          <w:rFonts w:ascii="Times New Roman" w:hAnsi="Times New Roman" w:eastAsia="Times New Roman" w:cs="Times New Roman"/>
          <w:sz w:val="20"/>
          <w:szCs w:val="20"/>
          <w:spacing w:val="6"/>
        </w:rPr>
        <w:t>2.  </w:t>
      </w:r>
      <w:r>
        <w:rPr>
          <w:rFonts w:ascii="SimHei" w:hAnsi="SimHei" w:eastAsia="SimHei" w:cs="SimHei"/>
          <w:sz w:val="20"/>
          <w:szCs w:val="20"/>
          <w:spacing w:val="6"/>
        </w:rPr>
        <w:t>规范性引用文件</w:t>
      </w:r>
    </w:p>
    <w:p>
      <w:pPr>
        <w:ind w:left="4" w:right="73" w:firstLine="426"/>
        <w:spacing w:before="180" w:line="378" w:lineRule="auto"/>
        <w:rPr>
          <w:rFonts w:ascii="SimSun" w:hAnsi="SimSun" w:eastAsia="SimSun" w:cs="SimSun"/>
          <w:sz w:val="20"/>
          <w:szCs w:val="20"/>
        </w:rPr>
      </w:pPr>
      <w:r>
        <w:rPr>
          <w:rFonts w:ascii="SimSun" w:hAnsi="SimSun" w:eastAsia="SimSun" w:cs="SimSun"/>
          <w:sz w:val="20"/>
          <w:szCs w:val="20"/>
          <w:spacing w:val="7"/>
        </w:rPr>
        <w:t>下列文件中的内容通过文中的规范性引用而构成本文件必不可少的条款，其最新版本（包括</w:t>
      </w:r>
      <w:r>
        <w:rPr>
          <w:rFonts w:ascii="SimSun" w:hAnsi="SimSun" w:eastAsia="SimSun" w:cs="SimSun"/>
          <w:sz w:val="20"/>
          <w:szCs w:val="20"/>
          <w:spacing w:val="8"/>
        </w:rPr>
        <w:t>所有的修改单）适用于本文件。</w:t>
      </w:r>
    </w:p>
    <w:p>
      <w:pPr>
        <w:ind w:left="423"/>
        <w:spacing w:before="155" w:line="228"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7635.</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6"/>
        </w:rPr>
        <w:t>1  </w:t>
      </w:r>
      <w:r>
        <w:rPr>
          <w:rFonts w:ascii="SimSun" w:hAnsi="SimSun" w:eastAsia="SimSun" w:cs="SimSun"/>
          <w:sz w:val="20"/>
          <w:szCs w:val="20"/>
          <w:spacing w:val="6"/>
        </w:rPr>
        <w:t>全国主要产品分类与代码</w:t>
      </w:r>
    </w:p>
    <w:p>
      <w:pPr>
        <w:pStyle w:val="BodyText"/>
        <w:spacing w:line="250" w:lineRule="auto"/>
        <w:rPr/>
      </w:pPr>
      <w:r/>
    </w:p>
    <w:p>
      <w:pPr>
        <w:ind w:left="423"/>
        <w:spacing w:before="66" w:line="228"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w:t>
      </w:r>
      <w:r>
        <w:rPr>
          <w:rFonts w:ascii="Times New Roman" w:hAnsi="Times New Roman" w:eastAsia="Times New Roman" w:cs="Times New Roman"/>
          <w:sz w:val="20"/>
          <w:szCs w:val="20"/>
          <w:spacing w:val="26"/>
          <w:w w:val="101"/>
        </w:rPr>
        <w:t xml:space="preserve"> </w:t>
      </w:r>
      <w:r>
        <w:rPr>
          <w:rFonts w:ascii="Times New Roman" w:hAnsi="Times New Roman" w:eastAsia="Times New Roman" w:cs="Times New Roman"/>
          <w:sz w:val="20"/>
          <w:szCs w:val="20"/>
          <w:spacing w:val="5"/>
        </w:rPr>
        <w:t>19001  </w:t>
      </w:r>
      <w:r>
        <w:rPr>
          <w:rFonts w:ascii="SimSun" w:hAnsi="SimSun" w:eastAsia="SimSun" w:cs="SimSun"/>
          <w:sz w:val="20"/>
          <w:szCs w:val="20"/>
          <w:spacing w:val="5"/>
        </w:rPr>
        <w:t>质量管理体系</w:t>
      </w:r>
      <w:r>
        <w:rPr>
          <w:rFonts w:ascii="SimSun" w:hAnsi="SimSun" w:eastAsia="SimSun" w:cs="SimSun"/>
          <w:sz w:val="20"/>
          <w:szCs w:val="20"/>
          <w:spacing w:val="17"/>
        </w:rPr>
        <w:t xml:space="preserve"> </w:t>
      </w:r>
      <w:r>
        <w:rPr>
          <w:rFonts w:ascii="SimSun" w:hAnsi="SimSun" w:eastAsia="SimSun" w:cs="SimSun"/>
          <w:sz w:val="20"/>
          <w:szCs w:val="20"/>
          <w:spacing w:val="5"/>
        </w:rPr>
        <w:t>要求</w:t>
      </w:r>
    </w:p>
    <w:p>
      <w:pPr>
        <w:pStyle w:val="BodyText"/>
        <w:spacing w:line="250" w:lineRule="auto"/>
        <w:rPr/>
      </w:pPr>
      <w:r/>
    </w:p>
    <w:p>
      <w:pPr>
        <w:ind w:left="423"/>
        <w:spacing w:before="65" w:line="228"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3"/>
        </w:rPr>
        <w:t>/T 29185</w:t>
      </w:r>
      <w:r>
        <w:rPr>
          <w:rFonts w:ascii="Times New Roman" w:hAnsi="Times New Roman" w:eastAsia="Times New Roman" w:cs="Times New Roman"/>
          <w:sz w:val="20"/>
          <w:szCs w:val="20"/>
          <w:spacing w:val="17"/>
          <w:w w:val="101"/>
        </w:rPr>
        <w:t xml:space="preserve">  </w:t>
      </w:r>
      <w:r>
        <w:rPr>
          <w:rFonts w:ascii="SimSun" w:hAnsi="SimSun" w:eastAsia="SimSun" w:cs="SimSun"/>
          <w:sz w:val="20"/>
          <w:szCs w:val="20"/>
          <w:spacing w:val="3"/>
        </w:rPr>
        <w:t>品牌</w:t>
      </w:r>
      <w:r>
        <w:rPr>
          <w:rFonts w:ascii="SimSun" w:hAnsi="SimSun" w:eastAsia="SimSun" w:cs="SimSun"/>
          <w:sz w:val="20"/>
          <w:szCs w:val="20"/>
          <w:spacing w:val="17"/>
        </w:rPr>
        <w:t xml:space="preserve"> </w:t>
      </w:r>
      <w:r>
        <w:rPr>
          <w:rFonts w:ascii="SimSun" w:hAnsi="SimSun" w:eastAsia="SimSun" w:cs="SimSun"/>
          <w:sz w:val="20"/>
          <w:szCs w:val="20"/>
          <w:spacing w:val="3"/>
        </w:rPr>
        <w:t>术语</w:t>
      </w:r>
    </w:p>
    <w:p>
      <w:pPr>
        <w:pStyle w:val="BodyText"/>
        <w:spacing w:line="251" w:lineRule="auto"/>
        <w:rPr/>
      </w:pPr>
      <w:r/>
    </w:p>
    <w:p>
      <w:pPr>
        <w:ind w:left="423"/>
        <w:spacing w:before="65" w:line="226"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33761  </w:t>
      </w:r>
      <w:r>
        <w:rPr>
          <w:rFonts w:ascii="SimSun" w:hAnsi="SimSun" w:eastAsia="SimSun" w:cs="SimSun"/>
          <w:sz w:val="20"/>
          <w:szCs w:val="20"/>
          <w:spacing w:val="6"/>
        </w:rPr>
        <w:t>绿色产品评价通则</w:t>
      </w:r>
    </w:p>
    <w:p>
      <w:pPr>
        <w:pStyle w:val="BodyText"/>
        <w:spacing w:line="252" w:lineRule="auto"/>
        <w:rPr/>
      </w:pPr>
      <w:r/>
    </w:p>
    <w:p>
      <w:pPr>
        <w:ind w:left="423"/>
        <w:spacing w:before="65" w:line="228"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38372  </w:t>
      </w:r>
      <w:r>
        <w:rPr>
          <w:rFonts w:ascii="SimSun" w:hAnsi="SimSun" w:eastAsia="SimSun" w:cs="SimSun"/>
          <w:sz w:val="20"/>
          <w:szCs w:val="20"/>
          <w:spacing w:val="6"/>
        </w:rPr>
        <w:t>企业品牌培育指南</w:t>
      </w:r>
    </w:p>
    <w:p>
      <w:pPr>
        <w:pStyle w:val="BodyText"/>
        <w:spacing w:line="251" w:lineRule="auto"/>
        <w:rPr/>
      </w:pPr>
      <w:r/>
    </w:p>
    <w:p>
      <w:pPr>
        <w:ind w:left="423"/>
        <w:spacing w:before="65" w:line="226"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39654</w:t>
      </w:r>
      <w:r>
        <w:rPr>
          <w:rFonts w:ascii="Times New Roman" w:hAnsi="Times New Roman" w:eastAsia="Times New Roman" w:cs="Times New Roman"/>
          <w:sz w:val="20"/>
          <w:szCs w:val="20"/>
          <w:spacing w:val="16"/>
          <w:w w:val="101"/>
        </w:rPr>
        <w:t xml:space="preserve">  </w:t>
      </w:r>
      <w:r>
        <w:rPr>
          <w:rFonts w:ascii="SimSun" w:hAnsi="SimSun" w:eastAsia="SimSun" w:cs="SimSun"/>
          <w:sz w:val="20"/>
          <w:szCs w:val="20"/>
          <w:spacing w:val="6"/>
        </w:rPr>
        <w:t>品牌评价 原则与基础（</w:t>
      </w:r>
      <w:r>
        <w:rPr>
          <w:rFonts w:ascii="Times New Roman" w:hAnsi="Times New Roman" w:eastAsia="Times New Roman" w:cs="Times New Roman"/>
          <w:sz w:val="20"/>
          <w:szCs w:val="20"/>
        </w:rPr>
        <w:t>ISO</w:t>
      </w:r>
      <w:r>
        <w:rPr>
          <w:rFonts w:ascii="Times New Roman" w:hAnsi="Times New Roman" w:eastAsia="Times New Roman" w:cs="Times New Roman"/>
          <w:sz w:val="20"/>
          <w:szCs w:val="20"/>
          <w:spacing w:val="6"/>
        </w:rPr>
        <w:t xml:space="preserve"> 20671</w:t>
      </w:r>
      <w:r>
        <w:rPr>
          <w:rFonts w:ascii="Times New Roman" w:hAnsi="Times New Roman" w:eastAsia="Times New Roman" w:cs="Times New Roman"/>
          <w:sz w:val="20"/>
          <w:szCs w:val="20"/>
          <w:spacing w:val="-26"/>
        </w:rPr>
        <w:t xml:space="preserve"> </w:t>
      </w:r>
      <w:r>
        <w:rPr>
          <w:rFonts w:ascii="SimSun" w:hAnsi="SimSun" w:eastAsia="SimSun" w:cs="SimSun"/>
          <w:sz w:val="20"/>
          <w:szCs w:val="20"/>
          <w:spacing w:val="6"/>
        </w:rPr>
        <w:t>，</w:t>
      </w:r>
      <w:r>
        <w:rPr>
          <w:rFonts w:ascii="Times New Roman" w:hAnsi="Times New Roman" w:eastAsia="Times New Roman" w:cs="Times New Roman"/>
          <w:sz w:val="20"/>
          <w:szCs w:val="20"/>
        </w:rPr>
        <w:t>IDT</w:t>
      </w:r>
      <w:r>
        <w:rPr>
          <w:rFonts w:ascii="SimSun" w:hAnsi="SimSun" w:eastAsia="SimSun" w:cs="SimSun"/>
          <w:sz w:val="20"/>
          <w:szCs w:val="20"/>
          <w:spacing w:val="6"/>
        </w:rPr>
        <w:t>）</w:t>
      </w:r>
    </w:p>
    <w:p>
      <w:pPr>
        <w:pStyle w:val="BodyText"/>
        <w:spacing w:line="254" w:lineRule="auto"/>
        <w:rPr/>
      </w:pPr>
      <w:r/>
    </w:p>
    <w:p>
      <w:pPr>
        <w:ind w:left="423"/>
        <w:spacing w:before="66" w:line="228"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 39906</w:t>
      </w:r>
      <w:r>
        <w:rPr>
          <w:rFonts w:ascii="Times New Roman" w:hAnsi="Times New Roman" w:eastAsia="Times New Roman" w:cs="Times New Roman"/>
          <w:sz w:val="20"/>
          <w:szCs w:val="20"/>
          <w:spacing w:val="16"/>
          <w:w w:val="101"/>
        </w:rPr>
        <w:t xml:space="preserve">  </w:t>
      </w:r>
      <w:r>
        <w:rPr>
          <w:rFonts w:ascii="SimSun" w:hAnsi="SimSun" w:eastAsia="SimSun" w:cs="SimSun"/>
          <w:sz w:val="20"/>
          <w:szCs w:val="20"/>
          <w:spacing w:val="5"/>
        </w:rPr>
        <w:t>品牌管理要求</w:t>
      </w:r>
    </w:p>
    <w:p>
      <w:pPr>
        <w:pStyle w:val="BodyText"/>
        <w:spacing w:line="251" w:lineRule="auto"/>
        <w:rPr/>
      </w:pPr>
      <w:r/>
    </w:p>
    <w:p>
      <w:pPr>
        <w:ind w:left="422"/>
        <w:spacing w:before="65" w:line="226" w:lineRule="auto"/>
        <w:rPr>
          <w:rFonts w:ascii="SimSun" w:hAnsi="SimSun" w:eastAsia="SimSun" w:cs="SimSun"/>
          <w:sz w:val="20"/>
          <w:szCs w:val="20"/>
        </w:rPr>
      </w:pPr>
      <w:r>
        <w:rPr>
          <w:rFonts w:ascii="Times New Roman" w:hAnsi="Times New Roman" w:eastAsia="Times New Roman" w:cs="Times New Roman"/>
          <w:sz w:val="20"/>
          <w:szCs w:val="20"/>
          <w:spacing w:val="6"/>
        </w:rPr>
        <w:t>T/</w:t>
      </w:r>
      <w:r>
        <w:rPr>
          <w:rFonts w:ascii="Times New Roman" w:hAnsi="Times New Roman" w:eastAsia="Times New Roman" w:cs="Times New Roman"/>
          <w:sz w:val="20"/>
          <w:szCs w:val="20"/>
        </w:rPr>
        <w:t>OTOP</w:t>
      </w:r>
      <w:r>
        <w:rPr>
          <w:rFonts w:ascii="Times New Roman" w:hAnsi="Times New Roman" w:eastAsia="Times New Roman" w:cs="Times New Roman"/>
          <w:sz w:val="20"/>
          <w:szCs w:val="20"/>
          <w:spacing w:val="30"/>
          <w:w w:val="101"/>
        </w:rPr>
        <w:t xml:space="preserve"> </w:t>
      </w:r>
      <w:r>
        <w:rPr>
          <w:rFonts w:ascii="Times New Roman" w:hAnsi="Times New Roman" w:eastAsia="Times New Roman" w:cs="Times New Roman"/>
          <w:sz w:val="20"/>
          <w:szCs w:val="20"/>
          <w:spacing w:val="6"/>
        </w:rPr>
        <w:t>1001</w:t>
      </w:r>
      <w:r>
        <w:rPr>
          <w:rFonts w:ascii="Times New Roman" w:hAnsi="Times New Roman" w:eastAsia="Times New Roman" w:cs="Times New Roman"/>
          <w:sz w:val="20"/>
          <w:szCs w:val="20"/>
          <w:spacing w:val="16"/>
        </w:rPr>
        <w:t xml:space="preserve">  </w:t>
      </w:r>
      <w:r>
        <w:rPr>
          <w:rFonts w:ascii="SimSun" w:hAnsi="SimSun" w:eastAsia="SimSun" w:cs="SimSun"/>
          <w:sz w:val="20"/>
          <w:szCs w:val="20"/>
          <w:spacing w:val="6"/>
        </w:rPr>
        <w:t>中国一乡一品产品评价通则</w:t>
      </w:r>
    </w:p>
    <w:p>
      <w:pPr>
        <w:pStyle w:val="BodyText"/>
        <w:spacing w:line="252" w:lineRule="auto"/>
        <w:rPr/>
      </w:pPr>
      <w:r/>
    </w:p>
    <w:p>
      <w:pPr>
        <w:ind w:left="422"/>
        <w:spacing w:before="66" w:line="226" w:lineRule="auto"/>
        <w:rPr>
          <w:rFonts w:ascii="SimSun" w:hAnsi="SimSun" w:eastAsia="SimSun" w:cs="SimSun"/>
          <w:sz w:val="20"/>
          <w:szCs w:val="20"/>
        </w:rPr>
      </w:pPr>
      <w:r>
        <w:rPr>
          <w:rFonts w:ascii="Times New Roman" w:hAnsi="Times New Roman" w:eastAsia="Times New Roman" w:cs="Times New Roman"/>
          <w:sz w:val="20"/>
          <w:szCs w:val="20"/>
          <w:spacing w:val="6"/>
        </w:rPr>
        <w:t>T/</w:t>
      </w:r>
      <w:r>
        <w:rPr>
          <w:rFonts w:ascii="Times New Roman" w:hAnsi="Times New Roman" w:eastAsia="Times New Roman" w:cs="Times New Roman"/>
          <w:sz w:val="20"/>
          <w:szCs w:val="20"/>
        </w:rPr>
        <w:t>OTOP</w:t>
      </w:r>
      <w:r>
        <w:rPr>
          <w:rFonts w:ascii="Times New Roman" w:hAnsi="Times New Roman" w:eastAsia="Times New Roman" w:cs="Times New Roman"/>
          <w:sz w:val="20"/>
          <w:szCs w:val="20"/>
          <w:spacing w:val="38"/>
          <w:w w:val="101"/>
        </w:rPr>
        <w:t xml:space="preserve"> </w:t>
      </w:r>
      <w:r>
        <w:rPr>
          <w:rFonts w:ascii="Times New Roman" w:hAnsi="Times New Roman" w:eastAsia="Times New Roman" w:cs="Times New Roman"/>
          <w:sz w:val="20"/>
          <w:szCs w:val="20"/>
          <w:spacing w:val="6"/>
        </w:rPr>
        <w:t>1002</w:t>
      </w:r>
      <w:r>
        <w:rPr>
          <w:rFonts w:ascii="Times New Roman" w:hAnsi="Times New Roman" w:eastAsia="Times New Roman" w:cs="Times New Roman"/>
          <w:sz w:val="20"/>
          <w:szCs w:val="20"/>
          <w:spacing w:val="16"/>
        </w:rPr>
        <w:t xml:space="preserve">  </w:t>
      </w:r>
      <w:r>
        <w:rPr>
          <w:rFonts w:ascii="SimSun" w:hAnsi="SimSun" w:eastAsia="SimSun" w:cs="SimSun"/>
          <w:sz w:val="20"/>
          <w:szCs w:val="20"/>
          <w:spacing w:val="6"/>
        </w:rPr>
        <w:t>中国一乡一品区域品牌评价通则</w:t>
      </w:r>
    </w:p>
    <w:p>
      <w:pPr>
        <w:pStyle w:val="BodyText"/>
        <w:spacing w:line="251" w:lineRule="auto"/>
        <w:rPr/>
      </w:pPr>
      <w:r/>
    </w:p>
    <w:p>
      <w:pPr>
        <w:ind w:left="422"/>
        <w:spacing w:before="66" w:line="228" w:lineRule="auto"/>
        <w:rPr>
          <w:rFonts w:ascii="SimSun" w:hAnsi="SimSun" w:eastAsia="SimSun" w:cs="SimSun"/>
          <w:sz w:val="20"/>
          <w:szCs w:val="20"/>
        </w:rPr>
      </w:pPr>
      <w:r>
        <w:rPr>
          <w:rFonts w:ascii="Times New Roman" w:hAnsi="Times New Roman" w:eastAsia="Times New Roman" w:cs="Times New Roman"/>
          <w:sz w:val="20"/>
          <w:szCs w:val="20"/>
          <w:spacing w:val="6"/>
        </w:rPr>
        <w:t>T/</w:t>
      </w:r>
      <w:r>
        <w:rPr>
          <w:rFonts w:ascii="Times New Roman" w:hAnsi="Times New Roman" w:eastAsia="Times New Roman" w:cs="Times New Roman"/>
          <w:sz w:val="20"/>
          <w:szCs w:val="20"/>
        </w:rPr>
        <w:t>OTOP</w:t>
      </w:r>
      <w:r>
        <w:rPr>
          <w:rFonts w:ascii="Times New Roman" w:hAnsi="Times New Roman" w:eastAsia="Times New Roman" w:cs="Times New Roman"/>
          <w:sz w:val="20"/>
          <w:szCs w:val="20"/>
          <w:spacing w:val="28"/>
          <w:w w:val="101"/>
        </w:rPr>
        <w:t xml:space="preserve"> </w:t>
      </w:r>
      <w:r>
        <w:rPr>
          <w:rFonts w:ascii="Times New Roman" w:hAnsi="Times New Roman" w:eastAsia="Times New Roman" w:cs="Times New Roman"/>
          <w:sz w:val="20"/>
          <w:szCs w:val="20"/>
          <w:spacing w:val="6"/>
        </w:rPr>
        <w:t>1019-2023</w:t>
      </w:r>
      <w:r>
        <w:rPr>
          <w:rFonts w:ascii="Times New Roman" w:hAnsi="Times New Roman" w:eastAsia="Times New Roman" w:cs="Times New Roman"/>
          <w:sz w:val="20"/>
          <w:szCs w:val="20"/>
          <w:spacing w:val="16"/>
        </w:rPr>
        <w:t xml:space="preserve">  </w:t>
      </w:r>
      <w:r>
        <w:rPr>
          <w:rFonts w:ascii="SimSun" w:hAnsi="SimSun" w:eastAsia="SimSun" w:cs="SimSun"/>
          <w:sz w:val="20"/>
          <w:szCs w:val="20"/>
          <w:spacing w:val="6"/>
        </w:rPr>
        <w:t>中国起源地品牌通用评定标准</w:t>
      </w:r>
    </w:p>
    <w:p>
      <w:pPr>
        <w:pStyle w:val="BodyText"/>
        <w:spacing w:line="252" w:lineRule="auto"/>
        <w:rPr/>
      </w:pPr>
      <w:r/>
    </w:p>
    <w:p>
      <w:pPr>
        <w:ind w:left="5"/>
        <w:spacing w:before="65" w:line="231" w:lineRule="auto"/>
        <w:outlineLvl w:val="0"/>
        <w:rPr>
          <w:rFonts w:ascii="SimHei" w:hAnsi="SimHei" w:eastAsia="SimHei" w:cs="SimHei"/>
          <w:sz w:val="20"/>
          <w:szCs w:val="20"/>
        </w:rPr>
      </w:pPr>
      <w:bookmarkStart w:name="bookmark19" w:id="5"/>
      <w:bookmarkEnd w:id="5"/>
      <w:r>
        <w:rPr>
          <w:rFonts w:ascii="Times New Roman" w:hAnsi="Times New Roman" w:eastAsia="Times New Roman" w:cs="Times New Roman"/>
          <w:sz w:val="20"/>
          <w:szCs w:val="20"/>
          <w:spacing w:val="5"/>
        </w:rPr>
        <w:t>3    </w:t>
      </w:r>
      <w:r>
        <w:rPr>
          <w:rFonts w:ascii="SimHei" w:hAnsi="SimHei" w:eastAsia="SimHei" w:cs="SimHei"/>
          <w:sz w:val="20"/>
          <w:szCs w:val="20"/>
          <w:spacing w:val="5"/>
        </w:rPr>
        <w:t>术语和定义</w:t>
      </w:r>
    </w:p>
    <w:p>
      <w:pPr>
        <w:ind w:left="431"/>
        <w:spacing w:before="223" w:line="227" w:lineRule="auto"/>
        <w:rPr>
          <w:rFonts w:ascii="SimSun" w:hAnsi="SimSun" w:eastAsia="SimSun" w:cs="SimSun"/>
          <w:sz w:val="20"/>
          <w:szCs w:val="20"/>
        </w:rPr>
      </w:pPr>
      <w:r>
        <w:rPr>
          <w:rFonts w:ascii="SimSun" w:hAnsi="SimSun" w:eastAsia="SimSun" w:cs="SimSun"/>
          <w:sz w:val="20"/>
          <w:szCs w:val="20"/>
          <w:spacing w:val="8"/>
        </w:rPr>
        <w:t>下列文件界定的术语和定义适用于本文件。</w:t>
      </w:r>
    </w:p>
    <w:p>
      <w:pPr>
        <w:pStyle w:val="BodyText"/>
        <w:spacing w:line="251" w:lineRule="auto"/>
        <w:rPr/>
      </w:pPr>
      <w:r/>
    </w:p>
    <w:p>
      <w:pPr>
        <w:spacing w:before="58" w:line="195" w:lineRule="auto"/>
        <w:rPr>
          <w:rFonts w:ascii="Times New Roman" w:hAnsi="Times New Roman" w:eastAsia="Times New Roman" w:cs="Times New Roman"/>
          <w:sz w:val="20"/>
          <w:szCs w:val="20"/>
        </w:rPr>
      </w:pPr>
      <w:bookmarkStart w:name="bookmark4" w:id="6"/>
      <w:bookmarkEnd w:id="6"/>
      <w:r>
        <w:rPr>
          <w:rFonts w:ascii="Times New Roman" w:hAnsi="Times New Roman" w:eastAsia="Times New Roman" w:cs="Times New Roman"/>
          <w:sz w:val="20"/>
          <w:szCs w:val="20"/>
          <w:b/>
          <w:bCs/>
          <w:spacing w:val="3"/>
        </w:rPr>
        <w:t>3.1</w:t>
      </w:r>
    </w:p>
    <w:p>
      <w:pPr>
        <w:pStyle w:val="BodyText"/>
        <w:spacing w:line="284" w:lineRule="auto"/>
        <w:rPr/>
      </w:pPr>
      <w:r/>
    </w:p>
    <w:p>
      <w:pPr>
        <w:ind w:left="428"/>
        <w:spacing w:before="66" w:line="221" w:lineRule="auto"/>
        <w:rPr>
          <w:rFonts w:ascii="Times New Roman" w:hAnsi="Times New Roman" w:eastAsia="Times New Roman" w:cs="Times New Roman"/>
          <w:sz w:val="20"/>
          <w:szCs w:val="20"/>
        </w:rPr>
      </w:pPr>
      <w:r>
        <w:rPr>
          <w:rFonts w:ascii="SimSun" w:hAnsi="SimSun" w:eastAsia="SimSun" w:cs="SimSun"/>
          <w:sz w:val="20"/>
          <w:szCs w:val="20"/>
          <w:b/>
          <w:bCs/>
          <w:spacing w:val="22"/>
        </w:rPr>
        <w:t>非遗代表性传承人</w:t>
      </w:r>
      <w:r>
        <w:rPr>
          <w:rFonts w:ascii="SimSun" w:hAnsi="SimSun" w:eastAsia="SimSun" w:cs="SimSun"/>
          <w:sz w:val="20"/>
          <w:szCs w:val="20"/>
          <w:spacing w:val="22"/>
        </w:rPr>
        <w:t xml:space="preserve"> </w:t>
      </w:r>
      <w:r>
        <w:rPr>
          <w:rFonts w:ascii="Times New Roman" w:hAnsi="Times New Roman" w:eastAsia="Times New Roman" w:cs="Times New Roman"/>
          <w:sz w:val="20"/>
          <w:szCs w:val="20"/>
          <w:b/>
          <w:bCs/>
        </w:rPr>
        <w:t>representative</w:t>
      </w:r>
      <w:r>
        <w:rPr>
          <w:rFonts w:ascii="Times New Roman" w:hAnsi="Times New Roman" w:eastAsia="Times New Roman" w:cs="Times New Roman"/>
          <w:sz w:val="20"/>
          <w:szCs w:val="20"/>
          <w:b/>
          <w:bCs/>
          <w:spacing w:val="22"/>
        </w:rPr>
        <w:t xml:space="preserve"> </w:t>
      </w:r>
      <w:r>
        <w:rPr>
          <w:rFonts w:ascii="Times New Roman" w:hAnsi="Times New Roman" w:eastAsia="Times New Roman" w:cs="Times New Roman"/>
          <w:sz w:val="20"/>
          <w:szCs w:val="20"/>
          <w:b/>
          <w:bCs/>
        </w:rPr>
        <w:t>inheritor</w:t>
      </w:r>
      <w:r>
        <w:rPr>
          <w:rFonts w:ascii="Times New Roman" w:hAnsi="Times New Roman" w:eastAsia="Times New Roman" w:cs="Times New Roman"/>
          <w:sz w:val="20"/>
          <w:szCs w:val="20"/>
          <w:b/>
          <w:bCs/>
          <w:spacing w:val="22"/>
        </w:rPr>
        <w:t xml:space="preserve"> </w:t>
      </w:r>
      <w:r>
        <w:rPr>
          <w:rFonts w:ascii="Times New Roman" w:hAnsi="Times New Roman" w:eastAsia="Times New Roman" w:cs="Times New Roman"/>
          <w:sz w:val="20"/>
          <w:szCs w:val="20"/>
          <w:b/>
          <w:bCs/>
        </w:rPr>
        <w:t>of</w:t>
      </w:r>
      <w:r>
        <w:rPr>
          <w:rFonts w:ascii="Times New Roman" w:hAnsi="Times New Roman" w:eastAsia="Times New Roman" w:cs="Times New Roman"/>
          <w:sz w:val="20"/>
          <w:szCs w:val="20"/>
          <w:b/>
          <w:bCs/>
          <w:spacing w:val="-7"/>
        </w:rPr>
        <w:t xml:space="preserve"> </w:t>
      </w:r>
      <w:r>
        <w:rPr>
          <w:rFonts w:ascii="Times New Roman" w:hAnsi="Times New Roman" w:eastAsia="Times New Roman" w:cs="Times New Roman"/>
          <w:sz w:val="20"/>
          <w:szCs w:val="20"/>
          <w:b/>
          <w:bCs/>
        </w:rPr>
        <w:t>intangible</w:t>
      </w:r>
      <w:r>
        <w:rPr>
          <w:rFonts w:ascii="Times New Roman" w:hAnsi="Times New Roman" w:eastAsia="Times New Roman" w:cs="Times New Roman"/>
          <w:sz w:val="20"/>
          <w:szCs w:val="20"/>
          <w:b/>
          <w:bCs/>
          <w:spacing w:val="22"/>
        </w:rPr>
        <w:t xml:space="preserve"> </w:t>
      </w:r>
      <w:r>
        <w:rPr>
          <w:rFonts w:ascii="Times New Roman" w:hAnsi="Times New Roman" w:eastAsia="Times New Roman" w:cs="Times New Roman"/>
          <w:sz w:val="20"/>
          <w:szCs w:val="20"/>
          <w:b/>
          <w:bCs/>
        </w:rPr>
        <w:t>cultural</w:t>
      </w:r>
      <w:r>
        <w:rPr>
          <w:rFonts w:ascii="Times New Roman" w:hAnsi="Times New Roman" w:eastAsia="Times New Roman" w:cs="Times New Roman"/>
          <w:sz w:val="20"/>
          <w:szCs w:val="20"/>
          <w:b/>
          <w:bCs/>
          <w:spacing w:val="22"/>
        </w:rPr>
        <w:t xml:space="preserve"> </w:t>
      </w:r>
      <w:r>
        <w:rPr>
          <w:rFonts w:ascii="Times New Roman" w:hAnsi="Times New Roman" w:eastAsia="Times New Roman" w:cs="Times New Roman"/>
          <w:sz w:val="20"/>
          <w:szCs w:val="20"/>
          <w:b/>
          <w:bCs/>
        </w:rPr>
        <w:t>heritage</w:t>
      </w:r>
    </w:p>
    <w:p>
      <w:pPr>
        <w:spacing w:line="221" w:lineRule="auto"/>
        <w:sectPr>
          <w:footerReference w:type="default" r:id="rId6"/>
          <w:pgSz w:w="11906" w:h="16839"/>
          <w:pgMar w:top="400" w:right="1517" w:bottom="1000" w:left="1592" w:header="0" w:footer="836" w:gutter="0"/>
        </w:sectPr>
        <w:rPr>
          <w:rFonts w:ascii="Times New Roman" w:hAnsi="Times New Roman" w:eastAsia="Times New Roman" w:cs="Times New Roman"/>
          <w:sz w:val="20"/>
          <w:szCs w:val="20"/>
        </w:rPr>
      </w:pPr>
    </w:p>
    <w:p>
      <w:pPr>
        <w:pStyle w:val="BodyText"/>
        <w:spacing w:line="274" w:lineRule="auto"/>
        <w:rPr/>
      </w:pPr>
      <w:r/>
    </w:p>
    <w:p>
      <w:pPr>
        <w:pStyle w:val="BodyText"/>
        <w:spacing w:line="274" w:lineRule="auto"/>
        <w:rPr/>
      </w:pPr>
      <w:r/>
    </w:p>
    <w:p>
      <w:pPr>
        <w:pStyle w:val="BodyText"/>
        <w:spacing w:line="274" w:lineRule="auto"/>
        <w:rPr/>
      </w:pPr>
      <w:r/>
    </w:p>
    <w:p>
      <w:pPr>
        <w:pStyle w:val="BodyText"/>
        <w:spacing w:line="274" w:lineRule="auto"/>
        <w:rPr/>
      </w:pPr>
      <w:r/>
    </w:p>
    <w:p>
      <w:pPr>
        <w:ind w:left="5" w:right="71" w:firstLine="316"/>
        <w:spacing w:before="65" w:line="433" w:lineRule="auto"/>
        <w:rPr>
          <w:rFonts w:ascii="SimSun" w:hAnsi="SimSun" w:eastAsia="SimSun" w:cs="SimSun"/>
          <w:sz w:val="20"/>
          <w:szCs w:val="20"/>
        </w:rPr>
      </w:pPr>
      <w:r>
        <w:rPr>
          <w:rFonts w:ascii="SimSun" w:hAnsi="SimSun" w:eastAsia="SimSun" w:cs="SimSun"/>
          <w:sz w:val="20"/>
          <w:szCs w:val="20"/>
          <w:spacing w:val="10"/>
        </w:rPr>
        <w:t>持有县级及以上文旅部门颁发的非物质文化遗产传承人证书，完整掌握项目核心技艺、持续</w:t>
      </w:r>
      <w:r>
        <w:rPr>
          <w:rFonts w:ascii="SimSun" w:hAnsi="SimSun" w:eastAsia="SimSun" w:cs="SimSun"/>
          <w:sz w:val="20"/>
          <w:szCs w:val="20"/>
          <w:spacing w:val="8"/>
        </w:rPr>
        <w:t>开展传习活动的自然人。</w:t>
      </w:r>
    </w:p>
    <w:p>
      <w:pPr>
        <w:spacing w:before="19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3"/>
        </w:rPr>
        <w:t>3.2</w:t>
      </w:r>
    </w:p>
    <w:p>
      <w:pPr>
        <w:pStyle w:val="BodyText"/>
        <w:spacing w:line="334" w:lineRule="auto"/>
        <w:rPr/>
      </w:pPr>
      <w:r/>
    </w:p>
    <w:p>
      <w:pPr>
        <w:ind w:left="428"/>
        <w:spacing w:before="65" w:line="221" w:lineRule="auto"/>
        <w:rPr>
          <w:rFonts w:ascii="Times New Roman" w:hAnsi="Times New Roman" w:eastAsia="Times New Roman" w:cs="Times New Roman"/>
          <w:sz w:val="20"/>
          <w:szCs w:val="20"/>
        </w:rPr>
      </w:pPr>
      <w:r>
        <w:rPr>
          <w:rFonts w:ascii="SimSun" w:hAnsi="SimSun" w:eastAsia="SimSun" w:cs="SimSun"/>
          <w:sz w:val="20"/>
          <w:szCs w:val="20"/>
          <w:b/>
          <w:bCs/>
          <w:spacing w:val="23"/>
        </w:rPr>
        <w:t>非遗创新品牌</w:t>
      </w:r>
      <w:r>
        <w:rPr>
          <w:rFonts w:ascii="SimSun" w:hAnsi="SimSun" w:eastAsia="SimSun" w:cs="SimSun"/>
          <w:sz w:val="20"/>
          <w:szCs w:val="20"/>
          <w:spacing w:val="23"/>
        </w:rPr>
        <w:t xml:space="preserve"> </w:t>
      </w:r>
      <w:r>
        <w:rPr>
          <w:rFonts w:ascii="Times New Roman" w:hAnsi="Times New Roman" w:eastAsia="Times New Roman" w:cs="Times New Roman"/>
          <w:sz w:val="20"/>
          <w:szCs w:val="20"/>
          <w:b/>
          <w:bCs/>
        </w:rPr>
        <w:t>innovative</w:t>
      </w:r>
      <w:r>
        <w:rPr>
          <w:rFonts w:ascii="Times New Roman" w:hAnsi="Times New Roman" w:eastAsia="Times New Roman" w:cs="Times New Roman"/>
          <w:sz w:val="20"/>
          <w:szCs w:val="20"/>
          <w:b/>
          <w:bCs/>
          <w:spacing w:val="23"/>
        </w:rPr>
        <w:t xml:space="preserve"> </w:t>
      </w:r>
      <w:r>
        <w:rPr>
          <w:rFonts w:ascii="Times New Roman" w:hAnsi="Times New Roman" w:eastAsia="Times New Roman" w:cs="Times New Roman"/>
          <w:sz w:val="20"/>
          <w:szCs w:val="20"/>
          <w:b/>
          <w:bCs/>
        </w:rPr>
        <w:t>brands</w:t>
      </w:r>
      <w:r>
        <w:rPr>
          <w:rFonts w:ascii="Times New Roman" w:hAnsi="Times New Roman" w:eastAsia="Times New Roman" w:cs="Times New Roman"/>
          <w:sz w:val="20"/>
          <w:szCs w:val="20"/>
          <w:b/>
          <w:bCs/>
          <w:spacing w:val="23"/>
        </w:rPr>
        <w:t xml:space="preserve"> </w:t>
      </w:r>
      <w:r>
        <w:rPr>
          <w:rFonts w:ascii="Times New Roman" w:hAnsi="Times New Roman" w:eastAsia="Times New Roman" w:cs="Times New Roman"/>
          <w:sz w:val="20"/>
          <w:szCs w:val="20"/>
          <w:b/>
          <w:bCs/>
        </w:rPr>
        <w:t>of</w:t>
      </w:r>
      <w:r>
        <w:rPr>
          <w:rFonts w:ascii="Times New Roman" w:hAnsi="Times New Roman" w:eastAsia="Times New Roman" w:cs="Times New Roman"/>
          <w:sz w:val="20"/>
          <w:szCs w:val="20"/>
          <w:b/>
          <w:bCs/>
          <w:spacing w:val="-4"/>
        </w:rPr>
        <w:t xml:space="preserve"> </w:t>
      </w:r>
      <w:r>
        <w:rPr>
          <w:rFonts w:ascii="Times New Roman" w:hAnsi="Times New Roman" w:eastAsia="Times New Roman" w:cs="Times New Roman"/>
          <w:sz w:val="20"/>
          <w:szCs w:val="20"/>
          <w:b/>
          <w:bCs/>
        </w:rPr>
        <w:t>intangible</w:t>
      </w:r>
      <w:r>
        <w:rPr>
          <w:rFonts w:ascii="Times New Roman" w:hAnsi="Times New Roman" w:eastAsia="Times New Roman" w:cs="Times New Roman"/>
          <w:sz w:val="20"/>
          <w:szCs w:val="20"/>
          <w:b/>
          <w:bCs/>
          <w:spacing w:val="23"/>
        </w:rPr>
        <w:t xml:space="preserve"> </w:t>
      </w:r>
      <w:r>
        <w:rPr>
          <w:rFonts w:ascii="Times New Roman" w:hAnsi="Times New Roman" w:eastAsia="Times New Roman" w:cs="Times New Roman"/>
          <w:sz w:val="20"/>
          <w:szCs w:val="20"/>
          <w:b/>
          <w:bCs/>
        </w:rPr>
        <w:t>cultural</w:t>
      </w:r>
      <w:r>
        <w:rPr>
          <w:rFonts w:ascii="Times New Roman" w:hAnsi="Times New Roman" w:eastAsia="Times New Roman" w:cs="Times New Roman"/>
          <w:sz w:val="20"/>
          <w:szCs w:val="20"/>
          <w:b/>
          <w:bCs/>
          <w:spacing w:val="23"/>
        </w:rPr>
        <w:t xml:space="preserve"> </w:t>
      </w:r>
      <w:r>
        <w:rPr>
          <w:rFonts w:ascii="Times New Roman" w:hAnsi="Times New Roman" w:eastAsia="Times New Roman" w:cs="Times New Roman"/>
          <w:sz w:val="20"/>
          <w:szCs w:val="20"/>
          <w:b/>
          <w:bCs/>
        </w:rPr>
        <w:t>heritage</w:t>
      </w:r>
    </w:p>
    <w:p>
      <w:pPr>
        <w:ind w:left="7" w:right="73" w:firstLine="419"/>
        <w:spacing w:before="287" w:line="378" w:lineRule="auto"/>
        <w:jc w:val="both"/>
        <w:rPr>
          <w:rFonts w:ascii="SimSun" w:hAnsi="SimSun" w:eastAsia="SimSun" w:cs="SimSun"/>
          <w:sz w:val="20"/>
          <w:szCs w:val="20"/>
        </w:rPr>
      </w:pPr>
      <w:r>
        <w:rPr>
          <w:rFonts w:ascii="SimSun" w:hAnsi="SimSun" w:eastAsia="SimSun" w:cs="SimSun"/>
          <w:sz w:val="20"/>
          <w:szCs w:val="20"/>
          <w:spacing w:val="7"/>
        </w:rPr>
        <w:t>依托县级及以上公布在册非遗项目核心文化、技艺内核，拥有独立知识产权，在坚守非遗本</w:t>
      </w:r>
      <w:r>
        <w:rPr>
          <w:rFonts w:ascii="SimSun" w:hAnsi="SimSun" w:eastAsia="SimSun" w:cs="SimSun"/>
          <w:sz w:val="20"/>
          <w:szCs w:val="20"/>
          <w:spacing w:val="8"/>
        </w:rPr>
        <w:t>真性基础上开展产品、工艺、数字、场景、商</w:t>
      </w:r>
      <w:r>
        <w:rPr>
          <w:rFonts w:ascii="SimSun" w:hAnsi="SimSun" w:eastAsia="SimSun" w:cs="SimSun"/>
          <w:sz w:val="20"/>
          <w:szCs w:val="20"/>
          <w:spacing w:val="7"/>
        </w:rPr>
        <w:t>业模式现代化创新，具备稳定运营、完整传承体系</w:t>
      </w:r>
      <w:r>
        <w:rPr>
          <w:rFonts w:ascii="SimSun" w:hAnsi="SimSun" w:eastAsia="SimSun" w:cs="SimSun"/>
          <w:sz w:val="20"/>
          <w:szCs w:val="20"/>
          <w:spacing w:val="9"/>
        </w:rPr>
        <w:t>的品牌；分为个人传承人品牌、企业非遗品牌、区域公共非遗品牌三类。</w:t>
      </w:r>
    </w:p>
    <w:p>
      <w:pPr>
        <w:spacing w:before="284" w:line="195"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3"/>
        </w:rPr>
        <w:t>3.3</w:t>
      </w:r>
    </w:p>
    <w:p>
      <w:pPr>
        <w:pStyle w:val="BodyText"/>
        <w:spacing w:line="334" w:lineRule="auto"/>
        <w:rPr/>
      </w:pPr>
      <w:r/>
    </w:p>
    <w:p>
      <w:pPr>
        <w:ind w:left="428"/>
        <w:spacing w:before="65" w:line="221" w:lineRule="auto"/>
        <w:rPr>
          <w:rFonts w:ascii="Times New Roman" w:hAnsi="Times New Roman" w:eastAsia="Times New Roman" w:cs="Times New Roman"/>
          <w:sz w:val="20"/>
          <w:szCs w:val="20"/>
        </w:rPr>
      </w:pPr>
      <w:bookmarkStart w:name="bookmark5" w:id="7"/>
      <w:bookmarkEnd w:id="7"/>
      <w:r>
        <w:rPr>
          <w:rFonts w:ascii="SimSun" w:hAnsi="SimSun" w:eastAsia="SimSun" w:cs="SimSun"/>
          <w:sz w:val="20"/>
          <w:szCs w:val="20"/>
          <w:b/>
          <w:bCs/>
          <w:spacing w:val="22"/>
        </w:rPr>
        <w:t>非遗起源标签</w:t>
      </w:r>
      <w:r>
        <w:rPr>
          <w:rFonts w:ascii="SimSun" w:hAnsi="SimSun" w:eastAsia="SimSun" w:cs="SimSun"/>
          <w:sz w:val="20"/>
          <w:szCs w:val="20"/>
          <w:spacing w:val="22"/>
        </w:rPr>
        <w:t xml:space="preserve"> </w:t>
      </w:r>
      <w:r>
        <w:rPr>
          <w:rFonts w:ascii="Times New Roman" w:hAnsi="Times New Roman" w:eastAsia="Times New Roman" w:cs="Times New Roman"/>
          <w:sz w:val="20"/>
          <w:szCs w:val="20"/>
          <w:b/>
          <w:bCs/>
        </w:rPr>
        <w:t>origin</w:t>
      </w:r>
      <w:r>
        <w:rPr>
          <w:rFonts w:ascii="Times New Roman" w:hAnsi="Times New Roman" w:eastAsia="Times New Roman" w:cs="Times New Roman"/>
          <w:sz w:val="20"/>
          <w:szCs w:val="20"/>
          <w:b/>
          <w:bCs/>
          <w:spacing w:val="22"/>
        </w:rPr>
        <w:t xml:space="preserve"> </w:t>
      </w:r>
      <w:r>
        <w:rPr>
          <w:rFonts w:ascii="Times New Roman" w:hAnsi="Times New Roman" w:eastAsia="Times New Roman" w:cs="Times New Roman"/>
          <w:sz w:val="20"/>
          <w:szCs w:val="20"/>
          <w:b/>
          <w:bCs/>
        </w:rPr>
        <w:t>label</w:t>
      </w:r>
      <w:r>
        <w:rPr>
          <w:rFonts w:ascii="Times New Roman" w:hAnsi="Times New Roman" w:eastAsia="Times New Roman" w:cs="Times New Roman"/>
          <w:sz w:val="20"/>
          <w:szCs w:val="20"/>
          <w:b/>
          <w:bCs/>
          <w:spacing w:val="22"/>
        </w:rPr>
        <w:t xml:space="preserve"> </w:t>
      </w:r>
      <w:r>
        <w:rPr>
          <w:rFonts w:ascii="Times New Roman" w:hAnsi="Times New Roman" w:eastAsia="Times New Roman" w:cs="Times New Roman"/>
          <w:sz w:val="20"/>
          <w:szCs w:val="20"/>
          <w:b/>
          <w:bCs/>
        </w:rPr>
        <w:t>of</w:t>
      </w:r>
      <w:r>
        <w:rPr>
          <w:rFonts w:ascii="Times New Roman" w:hAnsi="Times New Roman" w:eastAsia="Times New Roman" w:cs="Times New Roman"/>
          <w:sz w:val="20"/>
          <w:szCs w:val="20"/>
          <w:b/>
          <w:bCs/>
          <w:spacing w:val="-11"/>
        </w:rPr>
        <w:t xml:space="preserve"> </w:t>
      </w:r>
      <w:r>
        <w:rPr>
          <w:rFonts w:ascii="Times New Roman" w:hAnsi="Times New Roman" w:eastAsia="Times New Roman" w:cs="Times New Roman"/>
          <w:sz w:val="20"/>
          <w:szCs w:val="20"/>
          <w:b/>
          <w:bCs/>
        </w:rPr>
        <w:t>intangible</w:t>
      </w:r>
      <w:r>
        <w:rPr>
          <w:rFonts w:ascii="Times New Roman" w:hAnsi="Times New Roman" w:eastAsia="Times New Roman" w:cs="Times New Roman"/>
          <w:sz w:val="20"/>
          <w:szCs w:val="20"/>
          <w:b/>
          <w:bCs/>
          <w:spacing w:val="22"/>
        </w:rPr>
        <w:t xml:space="preserve"> </w:t>
      </w:r>
      <w:r>
        <w:rPr>
          <w:rFonts w:ascii="Times New Roman" w:hAnsi="Times New Roman" w:eastAsia="Times New Roman" w:cs="Times New Roman"/>
          <w:sz w:val="20"/>
          <w:szCs w:val="20"/>
          <w:b/>
          <w:bCs/>
        </w:rPr>
        <w:t>cultural</w:t>
      </w:r>
      <w:r>
        <w:rPr>
          <w:rFonts w:ascii="Times New Roman" w:hAnsi="Times New Roman" w:eastAsia="Times New Roman" w:cs="Times New Roman"/>
          <w:sz w:val="20"/>
          <w:szCs w:val="20"/>
          <w:b/>
          <w:bCs/>
          <w:spacing w:val="12"/>
        </w:rPr>
        <w:t xml:space="preserve"> </w:t>
      </w:r>
      <w:r>
        <w:rPr>
          <w:rFonts w:ascii="Times New Roman" w:hAnsi="Times New Roman" w:eastAsia="Times New Roman" w:cs="Times New Roman"/>
          <w:sz w:val="20"/>
          <w:szCs w:val="20"/>
          <w:b/>
          <w:bCs/>
        </w:rPr>
        <w:t>heritage</w:t>
      </w:r>
    </w:p>
    <w:p>
      <w:pPr>
        <w:ind w:left="425"/>
        <w:spacing w:before="289" w:line="227" w:lineRule="auto"/>
        <w:rPr>
          <w:rFonts w:ascii="SimSun" w:hAnsi="SimSun" w:eastAsia="SimSun" w:cs="SimSun"/>
          <w:sz w:val="20"/>
          <w:szCs w:val="20"/>
        </w:rPr>
      </w:pPr>
      <w:r>
        <w:rPr>
          <w:rFonts w:ascii="SimSun" w:hAnsi="SimSun" w:eastAsia="SimSun" w:cs="SimSun"/>
          <w:sz w:val="20"/>
          <w:szCs w:val="20"/>
          <w:spacing w:val="9"/>
        </w:rPr>
        <w:t>专属溯源标签，记录非遗项目、传承谱系、知识产权、创新方向、入库登记信息等内容。</w:t>
      </w:r>
    </w:p>
    <w:p>
      <w:pPr>
        <w:pStyle w:val="BodyText"/>
        <w:spacing w:line="251" w:lineRule="auto"/>
        <w:rPr/>
      </w:pPr>
      <w:r/>
    </w:p>
    <w:p>
      <w:pPr>
        <w:spacing w:before="65" w:line="231" w:lineRule="auto"/>
        <w:outlineLvl w:val="0"/>
        <w:rPr>
          <w:rFonts w:ascii="SimHei" w:hAnsi="SimHei" w:eastAsia="SimHei" w:cs="SimHei"/>
          <w:sz w:val="20"/>
          <w:szCs w:val="20"/>
        </w:rPr>
      </w:pPr>
      <w:bookmarkStart w:name="bookmark20" w:id="8"/>
      <w:bookmarkEnd w:id="8"/>
      <w:r>
        <w:rPr>
          <w:rFonts w:ascii="Times New Roman" w:hAnsi="Times New Roman" w:eastAsia="Times New Roman" w:cs="Times New Roman"/>
          <w:sz w:val="20"/>
          <w:szCs w:val="20"/>
          <w:spacing w:val="6"/>
        </w:rPr>
        <w:t>4.  </w:t>
      </w:r>
      <w:r>
        <w:rPr>
          <w:rFonts w:ascii="SimHei" w:hAnsi="SimHei" w:eastAsia="SimHei" w:cs="SimHei"/>
          <w:sz w:val="20"/>
          <w:szCs w:val="20"/>
          <w:spacing w:val="6"/>
        </w:rPr>
        <w:t>合规性要求</w:t>
      </w:r>
    </w:p>
    <w:p>
      <w:pPr>
        <w:pStyle w:val="BodyText"/>
        <w:spacing w:line="247" w:lineRule="auto"/>
        <w:rPr/>
      </w:pPr>
      <w:r/>
    </w:p>
    <w:p>
      <w:pPr>
        <w:ind w:left="451"/>
        <w:spacing w:before="65" w:line="228" w:lineRule="auto"/>
        <w:rPr>
          <w:rFonts w:ascii="SimSun" w:hAnsi="SimSun" w:eastAsia="SimSun" w:cs="SimSun"/>
          <w:sz w:val="20"/>
          <w:szCs w:val="20"/>
        </w:rPr>
      </w:pPr>
      <w:r>
        <w:rPr>
          <w:rFonts w:ascii="SimSun" w:hAnsi="SimSun" w:eastAsia="SimSun" w:cs="SimSun"/>
          <w:sz w:val="20"/>
          <w:szCs w:val="20"/>
          <w:spacing w:val="6"/>
        </w:rPr>
        <w:t>申报主体必须满足以下合规条件：</w:t>
      </w:r>
    </w:p>
    <w:p>
      <w:pPr>
        <w:pStyle w:val="BodyText"/>
        <w:spacing w:line="251" w:lineRule="auto"/>
        <w:rPr/>
      </w:pPr>
      <w:r/>
    </w:p>
    <w:p>
      <w:pPr>
        <w:ind w:left="866" w:right="71" w:hanging="442"/>
        <w:spacing w:before="65" w:line="367" w:lineRule="auto"/>
        <w:rPr>
          <w:rFonts w:ascii="SimSun" w:hAnsi="SimSun" w:eastAsia="SimSun" w:cs="SimSun"/>
          <w:sz w:val="20"/>
          <w:szCs w:val="20"/>
        </w:rPr>
      </w:pPr>
      <w:r>
        <w:rPr>
          <w:rFonts w:ascii="Times New Roman" w:hAnsi="Times New Roman" w:eastAsia="Times New Roman" w:cs="Times New Roman"/>
          <w:sz w:val="20"/>
          <w:szCs w:val="20"/>
          <w:spacing w:val="11"/>
        </w:rPr>
        <w:t>a)     </w:t>
      </w:r>
      <w:r>
        <w:rPr>
          <w:rFonts w:ascii="SimSun" w:hAnsi="SimSun" w:eastAsia="SimSun" w:cs="SimSun"/>
          <w:sz w:val="20"/>
          <w:szCs w:val="20"/>
          <w:spacing w:val="11"/>
        </w:rPr>
        <w:t>持有县区级（含）及以上人民政府批准、公布的非物质文化遗产代表性项目证书，具</w:t>
      </w:r>
      <w:r>
        <w:rPr>
          <w:rFonts w:ascii="SimSun" w:hAnsi="SimSun" w:eastAsia="SimSun" w:cs="SimSun"/>
          <w:sz w:val="20"/>
          <w:szCs w:val="20"/>
          <w:spacing w:val="9"/>
        </w:rPr>
        <w:t>备对应层级传承人或合法授权运营资质，非遗权属无争议；</w:t>
      </w:r>
    </w:p>
    <w:p>
      <w:pPr>
        <w:ind w:left="862" w:right="73" w:hanging="446"/>
        <w:spacing w:before="180" w:line="367" w:lineRule="auto"/>
        <w:rPr>
          <w:rFonts w:ascii="SimSun" w:hAnsi="SimSun" w:eastAsia="SimSun" w:cs="SimSun"/>
          <w:sz w:val="20"/>
          <w:szCs w:val="20"/>
        </w:rPr>
      </w:pPr>
      <w:r>
        <w:rPr>
          <w:rFonts w:ascii="Times New Roman" w:hAnsi="Times New Roman" w:eastAsia="Times New Roman" w:cs="Times New Roman"/>
          <w:sz w:val="20"/>
          <w:szCs w:val="20"/>
          <w:spacing w:val="9"/>
        </w:rPr>
        <w:t>b)     </w:t>
      </w:r>
      <w:r>
        <w:rPr>
          <w:rFonts w:ascii="SimSun" w:hAnsi="SimSun" w:eastAsia="SimSun" w:cs="SimSun"/>
          <w:sz w:val="20"/>
          <w:szCs w:val="20"/>
          <w:spacing w:val="9"/>
        </w:rPr>
        <w:t>申报主体拥有申报品牌对应品类合法注册商标，配</w:t>
      </w:r>
      <w:r>
        <w:rPr>
          <w:rFonts w:ascii="SimSun" w:hAnsi="SimSun" w:eastAsia="SimSun" w:cs="SimSun"/>
          <w:sz w:val="20"/>
          <w:szCs w:val="20"/>
          <w:spacing w:val="8"/>
        </w:rPr>
        <w:t>套至少</w:t>
      </w:r>
      <w:r>
        <w:rPr>
          <w:rFonts w:ascii="Times New Roman" w:hAnsi="Times New Roman" w:eastAsia="Times New Roman" w:cs="Times New Roman"/>
          <w:sz w:val="20"/>
          <w:szCs w:val="20"/>
          <w:spacing w:val="8"/>
        </w:rPr>
        <w:t>1</w:t>
      </w:r>
      <w:r>
        <w:rPr>
          <w:rFonts w:ascii="SimSun" w:hAnsi="SimSun" w:eastAsia="SimSun" w:cs="SimSun"/>
          <w:sz w:val="20"/>
          <w:szCs w:val="20"/>
          <w:spacing w:val="8"/>
        </w:rPr>
        <w:t>项版权或专利等其他知识产</w:t>
      </w:r>
      <w:r>
        <w:rPr>
          <w:rFonts w:ascii="SimSun" w:hAnsi="SimSun" w:eastAsia="SimSun" w:cs="SimSun"/>
          <w:sz w:val="20"/>
          <w:szCs w:val="20"/>
          <w:spacing w:val="9"/>
        </w:rPr>
        <w:t>权，知识产权权属清晰、无侵权、无转让纠纷。</w:t>
      </w:r>
    </w:p>
    <w:p>
      <w:pPr>
        <w:ind w:left="880" w:right="2" w:hanging="457"/>
        <w:spacing w:before="177" w:line="367" w:lineRule="auto"/>
        <w:rPr>
          <w:rFonts w:ascii="SimSun" w:hAnsi="SimSun" w:eastAsia="SimSun" w:cs="SimSun"/>
          <w:sz w:val="20"/>
          <w:szCs w:val="20"/>
        </w:rPr>
      </w:pPr>
      <w:r>
        <w:rPr>
          <w:rFonts w:ascii="Times New Roman" w:hAnsi="Times New Roman" w:eastAsia="Times New Roman" w:cs="Times New Roman"/>
          <w:sz w:val="20"/>
          <w:szCs w:val="20"/>
          <w:spacing w:val="7"/>
        </w:rPr>
        <w:t>c)     </w:t>
      </w:r>
      <w:r>
        <w:rPr>
          <w:rFonts w:ascii="SimSun" w:hAnsi="SimSun" w:eastAsia="SimSun" w:cs="SimSun"/>
          <w:sz w:val="20"/>
          <w:szCs w:val="20"/>
          <w:spacing w:val="7"/>
        </w:rPr>
        <w:t>主体资质：</w:t>
      </w:r>
      <w:r>
        <w:rPr>
          <w:rFonts w:ascii="SimSun" w:hAnsi="SimSun" w:eastAsia="SimSun" w:cs="SimSun"/>
          <w:sz w:val="20"/>
          <w:szCs w:val="20"/>
          <w:spacing w:val="-47"/>
        </w:rPr>
        <w:t xml:space="preserve"> </w:t>
      </w:r>
      <w:r>
        <w:rPr>
          <w:rFonts w:ascii="SimSun" w:hAnsi="SimSun" w:eastAsia="SimSun" w:cs="SimSun"/>
          <w:sz w:val="20"/>
          <w:szCs w:val="20"/>
          <w:spacing w:val="7"/>
        </w:rPr>
        <w:t>自然人、依法登记法人、民办非企业、个体工商户，可独立承担</w:t>
      </w:r>
      <w:r>
        <w:rPr>
          <w:rFonts w:ascii="SimSun" w:hAnsi="SimSun" w:eastAsia="SimSun" w:cs="SimSun"/>
          <w:sz w:val="20"/>
          <w:szCs w:val="20"/>
          <w:spacing w:val="6"/>
        </w:rPr>
        <w:t>法律责任；</w:t>
      </w:r>
      <w:r>
        <w:rPr>
          <w:rFonts w:ascii="SimSun" w:hAnsi="SimSun" w:eastAsia="SimSun" w:cs="SimSun"/>
          <w:sz w:val="20"/>
          <w:szCs w:val="20"/>
          <w:spacing w:val="6"/>
        </w:rPr>
        <w:t>品牌商标核定使用品类与申报产品 </w:t>
      </w:r>
      <w:r>
        <w:rPr>
          <w:rFonts w:ascii="Times New Roman" w:hAnsi="Times New Roman" w:eastAsia="Times New Roman" w:cs="Times New Roman"/>
          <w:sz w:val="20"/>
          <w:szCs w:val="20"/>
          <w:spacing w:val="6"/>
        </w:rPr>
        <w:t>/  </w:t>
      </w:r>
      <w:r>
        <w:rPr>
          <w:rFonts w:ascii="SimSun" w:hAnsi="SimSun" w:eastAsia="SimSun" w:cs="SimSun"/>
          <w:sz w:val="20"/>
          <w:szCs w:val="20"/>
          <w:spacing w:val="6"/>
        </w:rPr>
        <w:t>服务匹配，申报人对品牌具备直接管理、使用权。</w:t>
      </w:r>
    </w:p>
    <w:p>
      <w:pPr>
        <w:ind w:left="868" w:right="70" w:hanging="445"/>
        <w:spacing w:before="179" w:line="367" w:lineRule="auto"/>
        <w:rPr>
          <w:rFonts w:ascii="SimSun" w:hAnsi="SimSun" w:eastAsia="SimSun" w:cs="SimSun"/>
          <w:sz w:val="20"/>
          <w:szCs w:val="20"/>
        </w:rPr>
      </w:pPr>
      <w:r>
        <w:rPr>
          <w:rFonts w:ascii="Times New Roman" w:hAnsi="Times New Roman" w:eastAsia="Times New Roman" w:cs="Times New Roman"/>
          <w:sz w:val="20"/>
          <w:szCs w:val="20"/>
          <w:spacing w:val="8"/>
        </w:rPr>
        <w:t>d)     </w:t>
      </w:r>
      <w:r>
        <w:rPr>
          <w:rFonts w:ascii="SimSun" w:hAnsi="SimSun" w:eastAsia="SimSun" w:cs="SimSun"/>
          <w:sz w:val="20"/>
          <w:szCs w:val="20"/>
          <w:spacing w:val="8"/>
        </w:rPr>
        <w:t>体系运行：按本标准建立文件化非遗活态传承档案体系 </w:t>
      </w:r>
      <w:r>
        <w:rPr>
          <w:rFonts w:ascii="Times New Roman" w:hAnsi="Times New Roman" w:eastAsia="Times New Roman" w:cs="Times New Roman"/>
          <w:sz w:val="20"/>
          <w:szCs w:val="20"/>
          <w:spacing w:val="8"/>
        </w:rPr>
        <w:t>+  </w:t>
      </w:r>
      <w:r>
        <w:rPr>
          <w:rFonts w:ascii="SimSun" w:hAnsi="SimSun" w:eastAsia="SimSun" w:cs="SimSun"/>
          <w:sz w:val="20"/>
          <w:szCs w:val="20"/>
          <w:spacing w:val="8"/>
        </w:rPr>
        <w:t>创新运营管理体</w:t>
      </w:r>
      <w:r>
        <w:rPr>
          <w:rFonts w:ascii="SimSun" w:hAnsi="SimSun" w:eastAsia="SimSun" w:cs="SimSun"/>
          <w:sz w:val="20"/>
          <w:szCs w:val="20"/>
          <w:spacing w:val="7"/>
        </w:rPr>
        <w:t>系，完整有</w:t>
      </w:r>
      <w:r>
        <w:rPr>
          <w:rFonts w:ascii="SimSun" w:hAnsi="SimSun" w:eastAsia="SimSun" w:cs="SimSun"/>
          <w:sz w:val="20"/>
          <w:szCs w:val="20"/>
          <w:spacing w:val="8"/>
        </w:rPr>
        <w:t>效运行 </w:t>
      </w:r>
      <w:r>
        <w:rPr>
          <w:rFonts w:ascii="Times New Roman" w:hAnsi="Times New Roman" w:eastAsia="Times New Roman" w:cs="Times New Roman"/>
          <w:sz w:val="20"/>
          <w:szCs w:val="20"/>
          <w:spacing w:val="8"/>
        </w:rPr>
        <w:t>3  </w:t>
      </w:r>
      <w:r>
        <w:rPr>
          <w:rFonts w:ascii="SimSun" w:hAnsi="SimSun" w:eastAsia="SimSun" w:cs="SimSun"/>
          <w:sz w:val="20"/>
          <w:szCs w:val="20"/>
          <w:spacing w:val="8"/>
        </w:rPr>
        <w:t>个月以上；具备固定传习、生产、展示场所。</w:t>
      </w:r>
    </w:p>
    <w:p>
      <w:pPr>
        <w:ind w:left="863" w:hanging="439"/>
        <w:spacing w:before="177" w:line="367" w:lineRule="auto"/>
        <w:rPr>
          <w:rFonts w:ascii="SimSun" w:hAnsi="SimSun" w:eastAsia="SimSun" w:cs="SimSun"/>
          <w:sz w:val="20"/>
          <w:szCs w:val="20"/>
        </w:rPr>
      </w:pPr>
      <w:r>
        <w:rPr>
          <w:rFonts w:ascii="Times New Roman" w:hAnsi="Times New Roman" w:eastAsia="Times New Roman" w:cs="Times New Roman"/>
          <w:sz w:val="20"/>
          <w:szCs w:val="20"/>
          <w:spacing w:val="8"/>
        </w:rPr>
        <w:t>e)     </w:t>
      </w:r>
      <w:r>
        <w:rPr>
          <w:rFonts w:ascii="SimSun" w:hAnsi="SimSun" w:eastAsia="SimSun" w:cs="SimSun"/>
          <w:sz w:val="20"/>
          <w:szCs w:val="20"/>
          <w:spacing w:val="8"/>
        </w:rPr>
        <w:t>质量安全合规：产品、服务符合国家强制性质量、安全、环保、卫生标准；传统医药、</w:t>
      </w:r>
      <w:r>
        <w:rPr>
          <w:rFonts w:ascii="SimSun" w:hAnsi="SimSun" w:eastAsia="SimSun" w:cs="SimSun"/>
          <w:sz w:val="20"/>
          <w:szCs w:val="20"/>
          <w:spacing w:val="8"/>
        </w:rPr>
        <w:t>食品类非遗额外满足食药监管规范。</w:t>
      </w:r>
    </w:p>
    <w:p>
      <w:pPr>
        <w:ind w:left="866" w:right="71" w:hanging="442"/>
        <w:spacing w:before="176" w:line="367" w:lineRule="auto"/>
        <w:rPr>
          <w:rFonts w:ascii="SimSun" w:hAnsi="SimSun" w:eastAsia="SimSun" w:cs="SimSun"/>
          <w:sz w:val="20"/>
          <w:szCs w:val="20"/>
        </w:rPr>
      </w:pPr>
      <w:r>
        <w:rPr>
          <w:rFonts w:ascii="Times New Roman" w:hAnsi="Times New Roman" w:eastAsia="Times New Roman" w:cs="Times New Roman"/>
          <w:sz w:val="20"/>
          <w:szCs w:val="20"/>
          <w:spacing w:val="12"/>
        </w:rPr>
        <w:t>f)     </w:t>
      </w:r>
      <w:r>
        <w:rPr>
          <w:rFonts w:ascii="SimSun" w:hAnsi="SimSun" w:eastAsia="SimSun" w:cs="SimSun"/>
          <w:sz w:val="20"/>
          <w:szCs w:val="20"/>
          <w:spacing w:val="12"/>
        </w:rPr>
        <w:t>信用记录：近三年未发生一般及以上质量、安全、环保、</w:t>
      </w:r>
      <w:r>
        <w:rPr>
          <w:rFonts w:ascii="SimSun" w:hAnsi="SimSun" w:eastAsia="SimSun" w:cs="SimSun"/>
          <w:sz w:val="20"/>
          <w:szCs w:val="20"/>
          <w:spacing w:val="11"/>
        </w:rPr>
        <w:t>知识产权行政处罚，无虚假</w:t>
      </w:r>
      <w:r>
        <w:rPr>
          <w:rFonts w:ascii="SimSun" w:hAnsi="SimSun" w:eastAsia="SimSun" w:cs="SimSun"/>
          <w:sz w:val="20"/>
          <w:szCs w:val="20"/>
          <w:spacing w:val="9"/>
        </w:rPr>
        <w:t>宣传、冒用非遗资质、群体性消费投诉等违法行</w:t>
      </w:r>
      <w:r>
        <w:rPr>
          <w:rFonts w:ascii="SimSun" w:hAnsi="SimSun" w:eastAsia="SimSun" w:cs="SimSun"/>
          <w:sz w:val="20"/>
          <w:szCs w:val="20"/>
          <w:spacing w:val="8"/>
        </w:rPr>
        <w:t>为。</w:t>
      </w:r>
    </w:p>
    <w:p>
      <w:pPr>
        <w:ind w:left="863" w:right="68" w:hanging="441"/>
        <w:spacing w:before="179" w:line="367" w:lineRule="auto"/>
        <w:rPr>
          <w:rFonts w:ascii="SimSun" w:hAnsi="SimSun" w:eastAsia="SimSun" w:cs="SimSun"/>
          <w:sz w:val="20"/>
          <w:szCs w:val="20"/>
        </w:rPr>
      </w:pPr>
      <w:r>
        <w:rPr>
          <w:rFonts w:ascii="Times New Roman" w:hAnsi="Times New Roman" w:eastAsia="Times New Roman" w:cs="Times New Roman"/>
          <w:sz w:val="20"/>
          <w:szCs w:val="20"/>
          <w:spacing w:val="6"/>
        </w:rPr>
        <w:t>g)     </w:t>
      </w:r>
      <w:r>
        <w:rPr>
          <w:rFonts w:ascii="SimSun" w:hAnsi="SimSun" w:eastAsia="SimSun" w:cs="SimSun"/>
          <w:sz w:val="20"/>
          <w:szCs w:val="20"/>
          <w:spacing w:val="6"/>
        </w:rPr>
        <w:t>活态传承底线：具备可追溯传承谱系，家族 </w:t>
      </w:r>
      <w:r>
        <w:rPr>
          <w:rFonts w:ascii="Times New Roman" w:hAnsi="Times New Roman" w:eastAsia="Times New Roman" w:cs="Times New Roman"/>
          <w:sz w:val="20"/>
          <w:szCs w:val="20"/>
          <w:spacing w:val="6"/>
        </w:rPr>
        <w:t>/  </w:t>
      </w:r>
      <w:r>
        <w:rPr>
          <w:rFonts w:ascii="SimSun" w:hAnsi="SimSun" w:eastAsia="SimSun" w:cs="SimSun"/>
          <w:sz w:val="20"/>
          <w:szCs w:val="20"/>
          <w:spacing w:val="6"/>
        </w:rPr>
        <w:t>师徒传承不少于 </w:t>
      </w:r>
      <w:r>
        <w:rPr>
          <w:rFonts w:ascii="Times New Roman" w:hAnsi="Times New Roman" w:eastAsia="Times New Roman" w:cs="Times New Roman"/>
          <w:sz w:val="20"/>
          <w:szCs w:val="20"/>
          <w:spacing w:val="6"/>
        </w:rPr>
        <w:t>2</w:t>
      </w:r>
      <w:r>
        <w:rPr>
          <w:rFonts w:ascii="Times New Roman" w:hAnsi="Times New Roman" w:eastAsia="Times New Roman" w:cs="Times New Roman"/>
          <w:sz w:val="20"/>
          <w:szCs w:val="20"/>
          <w:spacing w:val="12"/>
          <w:w w:val="101"/>
        </w:rPr>
        <w:t xml:space="preserve">  </w:t>
      </w:r>
      <w:r>
        <w:rPr>
          <w:rFonts w:ascii="SimSun" w:hAnsi="SimSun" w:eastAsia="SimSun" w:cs="SimSun"/>
          <w:sz w:val="20"/>
          <w:szCs w:val="20"/>
          <w:spacing w:val="6"/>
        </w:rPr>
        <w:t>代；近 </w:t>
      </w:r>
      <w:r>
        <w:rPr>
          <w:rFonts w:ascii="Times New Roman" w:hAnsi="Times New Roman" w:eastAsia="Times New Roman" w:cs="Times New Roman"/>
          <w:sz w:val="20"/>
          <w:szCs w:val="20"/>
          <w:spacing w:val="6"/>
        </w:rPr>
        <w:t>24  </w:t>
      </w:r>
      <w:r>
        <w:rPr>
          <w:rFonts w:ascii="SimSun" w:hAnsi="SimSun" w:eastAsia="SimSun" w:cs="SimSun"/>
          <w:sz w:val="20"/>
          <w:szCs w:val="20"/>
          <w:spacing w:val="6"/>
        </w:rPr>
        <w:t>个月持续</w:t>
      </w:r>
      <w:r>
        <w:rPr>
          <w:rFonts w:ascii="SimSun" w:hAnsi="SimSun" w:eastAsia="SimSun" w:cs="SimSun"/>
          <w:sz w:val="20"/>
          <w:szCs w:val="20"/>
          <w:spacing w:val="9"/>
        </w:rPr>
        <w:t>开展收徒、教学、展演、研学等传习活动，无技艺断代。</w:t>
      </w:r>
    </w:p>
    <w:p>
      <w:pPr>
        <w:spacing w:line="367" w:lineRule="auto"/>
        <w:sectPr>
          <w:footerReference w:type="default" r:id="rId7"/>
          <w:pgSz w:w="11906" w:h="16839"/>
          <w:pgMar w:top="400" w:right="1517" w:bottom="999" w:left="1592" w:header="0" w:footer="836" w:gutter="0"/>
        </w:sectPr>
        <w:rPr>
          <w:rFonts w:ascii="SimSun" w:hAnsi="SimSun" w:eastAsia="SimSun" w:cs="SimSun"/>
          <w:sz w:val="20"/>
          <w:szCs w:val="20"/>
        </w:rPr>
      </w:pP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50" w:lineRule="auto"/>
        <w:rPr/>
      </w:pPr>
      <w:r/>
    </w:p>
    <w:p>
      <w:pPr>
        <w:ind w:left="858" w:right="54" w:hanging="445"/>
        <w:spacing w:before="65" w:line="376" w:lineRule="auto"/>
        <w:rPr>
          <w:rFonts w:ascii="SimSun" w:hAnsi="SimSun" w:eastAsia="SimSun" w:cs="SimSun"/>
          <w:sz w:val="20"/>
          <w:szCs w:val="20"/>
        </w:rPr>
      </w:pPr>
      <w:r>
        <w:rPr>
          <w:rFonts w:ascii="Times New Roman" w:hAnsi="Times New Roman" w:eastAsia="Times New Roman" w:cs="Times New Roman"/>
          <w:sz w:val="20"/>
          <w:szCs w:val="20"/>
          <w:spacing w:val="8"/>
        </w:rPr>
        <w:t>h)     </w:t>
      </w:r>
      <w:r>
        <w:rPr>
          <w:rFonts w:ascii="SimSun" w:hAnsi="SimSun" w:eastAsia="SimSun" w:cs="SimSun"/>
          <w:sz w:val="20"/>
          <w:szCs w:val="20"/>
          <w:spacing w:val="8"/>
        </w:rPr>
        <w:t>创新基础：基于非遗核心技艺、文化内核落地至少</w:t>
      </w:r>
      <w:r>
        <w:rPr>
          <w:rFonts w:ascii="SimSun" w:hAnsi="SimSun" w:eastAsia="SimSun" w:cs="SimSun"/>
          <w:sz w:val="20"/>
          <w:szCs w:val="20"/>
          <w:spacing w:val="32"/>
        </w:rPr>
        <w:t xml:space="preserve"> </w:t>
      </w:r>
      <w:r>
        <w:rPr>
          <w:rFonts w:ascii="Times New Roman" w:hAnsi="Times New Roman" w:eastAsia="Times New Roman" w:cs="Times New Roman"/>
          <w:sz w:val="20"/>
          <w:szCs w:val="20"/>
          <w:spacing w:val="8"/>
        </w:rPr>
        <w:t>1  </w:t>
      </w:r>
      <w:r>
        <w:rPr>
          <w:rFonts w:ascii="SimSun" w:hAnsi="SimSun" w:eastAsia="SimSun" w:cs="SimSun"/>
          <w:sz w:val="20"/>
          <w:szCs w:val="20"/>
          <w:spacing w:val="8"/>
        </w:rPr>
        <w:t>项可核</w:t>
      </w:r>
      <w:r>
        <w:rPr>
          <w:rFonts w:ascii="SimSun" w:hAnsi="SimSun" w:eastAsia="SimSun" w:cs="SimSun"/>
          <w:sz w:val="20"/>
          <w:szCs w:val="20"/>
          <w:spacing w:val="7"/>
        </w:rPr>
        <w:t>验创新成果（文创产品、</w:t>
      </w:r>
      <w:r>
        <w:rPr>
          <w:rFonts w:ascii="SimSun" w:hAnsi="SimSun" w:eastAsia="SimSun" w:cs="SimSun"/>
          <w:sz w:val="20"/>
          <w:szCs w:val="20"/>
          <w:spacing w:val="9"/>
        </w:rPr>
        <w:t>工艺改良、数字 </w:t>
      </w:r>
      <w:r>
        <w:rPr>
          <w:rFonts w:ascii="Times New Roman" w:hAnsi="Times New Roman" w:eastAsia="Times New Roman" w:cs="Times New Roman"/>
          <w:sz w:val="20"/>
          <w:szCs w:val="20"/>
        </w:rPr>
        <w:t>IP</w:t>
      </w:r>
      <w:r>
        <w:rPr>
          <w:rFonts w:ascii="Times New Roman" w:hAnsi="Times New Roman" w:eastAsia="Times New Roman" w:cs="Times New Roman"/>
          <w:sz w:val="20"/>
          <w:szCs w:val="20"/>
          <w:spacing w:val="-26"/>
        </w:rPr>
        <w:t xml:space="preserve"> </w:t>
      </w:r>
      <w:r>
        <w:rPr>
          <w:rFonts w:ascii="SimSun" w:hAnsi="SimSun" w:eastAsia="SimSun" w:cs="SimSun"/>
          <w:sz w:val="20"/>
          <w:szCs w:val="20"/>
          <w:spacing w:val="9"/>
        </w:rPr>
        <w:t>、文旅场景、跨界联名等</w:t>
      </w:r>
      <w:r>
        <w:rPr>
          <w:rFonts w:ascii="SimSun" w:hAnsi="SimSun" w:eastAsia="SimSun" w:cs="SimSun"/>
          <w:sz w:val="20"/>
          <w:szCs w:val="20"/>
          <w:spacing w:val="22"/>
        </w:rPr>
        <w:t>），</w:t>
      </w:r>
      <w:r>
        <w:rPr>
          <w:rFonts w:ascii="SimSun" w:hAnsi="SimSun" w:eastAsia="SimSun" w:cs="SimSun"/>
          <w:sz w:val="20"/>
          <w:szCs w:val="20"/>
          <w:spacing w:val="9"/>
        </w:rPr>
        <w:t>杜绝仅印刷非遗图案、无核心工艺支</w:t>
      </w:r>
      <w:r>
        <w:rPr>
          <w:rFonts w:ascii="SimSun" w:hAnsi="SimSun" w:eastAsia="SimSun" w:cs="SimSun"/>
          <w:sz w:val="20"/>
          <w:szCs w:val="20"/>
          <w:spacing w:val="7"/>
        </w:rPr>
        <w:t>撑的贴牌行为。</w:t>
      </w:r>
    </w:p>
    <w:p>
      <w:pPr>
        <w:ind w:left="859" w:right="54" w:hanging="442"/>
        <w:spacing w:before="161" w:line="368" w:lineRule="auto"/>
        <w:rPr>
          <w:rFonts w:ascii="SimSun" w:hAnsi="SimSun" w:eastAsia="SimSun" w:cs="SimSun"/>
          <w:sz w:val="20"/>
          <w:szCs w:val="20"/>
        </w:rPr>
      </w:pPr>
      <w:r>
        <w:rPr>
          <w:rFonts w:ascii="Times New Roman" w:hAnsi="Times New Roman" w:eastAsia="Times New Roman" w:cs="Times New Roman"/>
          <w:sz w:val="20"/>
          <w:szCs w:val="20"/>
          <w:spacing w:val="11"/>
        </w:rPr>
        <w:t>i)      </w:t>
      </w:r>
      <w:r>
        <w:rPr>
          <w:rFonts w:ascii="SimSun" w:hAnsi="SimSun" w:eastAsia="SimSun" w:cs="SimSun"/>
          <w:sz w:val="20"/>
          <w:szCs w:val="20"/>
          <w:spacing w:val="11"/>
        </w:rPr>
        <w:t>基础管理：配备专职非遗传承责任人和品牌运营</w:t>
      </w:r>
      <w:r>
        <w:rPr>
          <w:rFonts w:ascii="SimSun" w:hAnsi="SimSun" w:eastAsia="SimSun" w:cs="SimSun"/>
          <w:sz w:val="20"/>
          <w:szCs w:val="20"/>
          <w:spacing w:val="10"/>
        </w:rPr>
        <w:t>联系人，档案完整可追溯；满足法律</w:t>
      </w:r>
      <w:r>
        <w:rPr>
          <w:rFonts w:ascii="SimSun" w:hAnsi="SimSun" w:eastAsia="SimSun" w:cs="SimSun"/>
          <w:sz w:val="20"/>
          <w:szCs w:val="20"/>
          <w:spacing w:val="8"/>
        </w:rPr>
        <w:t>法规和其他强制性要求。</w:t>
      </w:r>
    </w:p>
    <w:p>
      <w:pPr>
        <w:ind w:left="1"/>
        <w:spacing w:before="175" w:line="230" w:lineRule="auto"/>
        <w:outlineLvl w:val="0"/>
        <w:rPr>
          <w:rFonts w:ascii="SimHei" w:hAnsi="SimHei" w:eastAsia="SimHei" w:cs="SimHei"/>
          <w:sz w:val="20"/>
          <w:szCs w:val="20"/>
        </w:rPr>
      </w:pPr>
      <w:bookmarkStart w:name="bookmark6" w:id="9"/>
      <w:bookmarkEnd w:id="9"/>
      <w:r>
        <w:rPr>
          <w:rFonts w:ascii="Times New Roman" w:hAnsi="Times New Roman" w:eastAsia="Times New Roman" w:cs="Times New Roman"/>
          <w:sz w:val="20"/>
          <w:szCs w:val="20"/>
          <w:spacing w:val="4"/>
        </w:rPr>
        <w:t>5</w:t>
      </w:r>
      <w:r>
        <w:rPr>
          <w:rFonts w:ascii="Times New Roman" w:hAnsi="Times New Roman" w:eastAsia="Times New Roman" w:cs="Times New Roman"/>
          <w:sz w:val="20"/>
          <w:szCs w:val="20"/>
          <w:spacing w:val="7"/>
        </w:rPr>
        <w:t xml:space="preserve">  </w:t>
      </w:r>
      <w:r>
        <w:rPr>
          <w:rFonts w:ascii="SimHei" w:hAnsi="SimHei" w:eastAsia="SimHei" w:cs="SimHei"/>
          <w:sz w:val="20"/>
          <w:szCs w:val="20"/>
          <w:spacing w:val="4"/>
        </w:rPr>
        <w:t>基本原则</w:t>
      </w:r>
    </w:p>
    <w:p>
      <w:pPr>
        <w:pStyle w:val="BodyText"/>
        <w:spacing w:line="250" w:lineRule="auto"/>
        <w:rPr/>
      </w:pPr>
      <w:r/>
    </w:p>
    <w:p>
      <w:pPr>
        <w:ind w:left="1"/>
        <w:spacing w:before="65" w:line="230" w:lineRule="auto"/>
        <w:rPr>
          <w:rFonts w:ascii="SimHei" w:hAnsi="SimHei" w:eastAsia="SimHei" w:cs="SimHei"/>
          <w:sz w:val="20"/>
          <w:szCs w:val="20"/>
        </w:rPr>
      </w:pPr>
      <w:r>
        <w:rPr>
          <w:rFonts w:ascii="Times New Roman" w:hAnsi="Times New Roman" w:eastAsia="Times New Roman" w:cs="Times New Roman"/>
          <w:sz w:val="20"/>
          <w:szCs w:val="20"/>
          <w:spacing w:val="5"/>
        </w:rPr>
        <w:t>5.</w:t>
      </w:r>
      <w:r>
        <w:rPr>
          <w:rFonts w:ascii="Times New Roman" w:hAnsi="Times New Roman" w:eastAsia="Times New Roman" w:cs="Times New Roman"/>
          <w:sz w:val="20"/>
          <w:szCs w:val="20"/>
          <w:spacing w:val="-25"/>
        </w:rPr>
        <w:t xml:space="preserve"> </w:t>
      </w:r>
      <w:r>
        <w:rPr>
          <w:rFonts w:ascii="Times New Roman" w:hAnsi="Times New Roman" w:eastAsia="Times New Roman" w:cs="Times New Roman"/>
          <w:sz w:val="20"/>
          <w:szCs w:val="20"/>
          <w:spacing w:val="5"/>
        </w:rPr>
        <w:t>1  </w:t>
      </w:r>
      <w:r>
        <w:rPr>
          <w:rFonts w:ascii="SimHei" w:hAnsi="SimHei" w:eastAsia="SimHei" w:cs="SimHei"/>
          <w:sz w:val="20"/>
          <w:szCs w:val="20"/>
          <w:spacing w:val="5"/>
        </w:rPr>
        <w:t>双核心门槛前置原则</w:t>
      </w:r>
    </w:p>
    <w:p>
      <w:pPr>
        <w:pStyle w:val="BodyText"/>
        <w:spacing w:line="249" w:lineRule="auto"/>
        <w:rPr/>
      </w:pPr>
      <w:r/>
    </w:p>
    <w:p>
      <w:pPr>
        <w:ind w:right="54" w:firstLine="420"/>
        <w:spacing w:before="65" w:line="378" w:lineRule="auto"/>
        <w:rPr>
          <w:rFonts w:ascii="SimSun" w:hAnsi="SimSun" w:eastAsia="SimSun" w:cs="SimSun"/>
          <w:sz w:val="20"/>
          <w:szCs w:val="20"/>
        </w:rPr>
      </w:pPr>
      <w:r>
        <w:rPr>
          <w:rFonts w:ascii="SimSun" w:hAnsi="SimSun" w:eastAsia="SimSun" w:cs="SimSun"/>
          <w:sz w:val="20"/>
          <w:szCs w:val="20"/>
          <w:spacing w:val="7"/>
        </w:rPr>
        <w:t>县级以上在册非遗、完整知识产权为评定第一前置条件，不满足两项硬性要求不得进入评定</w:t>
      </w:r>
      <w:r>
        <w:rPr>
          <w:rFonts w:ascii="SimSun" w:hAnsi="SimSun" w:eastAsia="SimSun" w:cs="SimSun"/>
          <w:sz w:val="20"/>
          <w:szCs w:val="20"/>
          <w:spacing w:val="3"/>
        </w:rPr>
        <w:t>环节。</w:t>
      </w:r>
    </w:p>
    <w:p>
      <w:pPr>
        <w:ind w:left="1"/>
        <w:spacing w:before="152" w:line="230" w:lineRule="auto"/>
        <w:rPr>
          <w:rFonts w:ascii="SimHei" w:hAnsi="SimHei" w:eastAsia="SimHei" w:cs="SimHei"/>
          <w:sz w:val="20"/>
          <w:szCs w:val="20"/>
        </w:rPr>
      </w:pPr>
      <w:r>
        <w:rPr>
          <w:rFonts w:ascii="Times New Roman" w:hAnsi="Times New Roman" w:eastAsia="Times New Roman" w:cs="Times New Roman"/>
          <w:sz w:val="20"/>
          <w:szCs w:val="20"/>
          <w:spacing w:val="6"/>
        </w:rPr>
        <w:t>5.2  </w:t>
      </w:r>
      <w:r>
        <w:rPr>
          <w:rFonts w:ascii="SimHei" w:hAnsi="SimHei" w:eastAsia="SimHei" w:cs="SimHei"/>
          <w:sz w:val="20"/>
          <w:szCs w:val="20"/>
          <w:spacing w:val="6"/>
        </w:rPr>
        <w:t>非遗本真性优先原则</w:t>
      </w:r>
    </w:p>
    <w:p>
      <w:pPr>
        <w:pStyle w:val="BodyText"/>
        <w:spacing w:line="250" w:lineRule="auto"/>
        <w:rPr/>
      </w:pPr>
      <w:r/>
    </w:p>
    <w:p>
      <w:pPr>
        <w:ind w:left="420"/>
        <w:spacing w:before="65" w:line="227" w:lineRule="auto"/>
        <w:rPr>
          <w:rFonts w:ascii="SimSun" w:hAnsi="SimSun" w:eastAsia="SimSun" w:cs="SimSun"/>
          <w:sz w:val="20"/>
          <w:szCs w:val="20"/>
        </w:rPr>
      </w:pPr>
      <w:r>
        <w:rPr>
          <w:rFonts w:ascii="SimSun" w:hAnsi="SimSun" w:eastAsia="SimSun" w:cs="SimSun"/>
          <w:sz w:val="20"/>
          <w:szCs w:val="20"/>
          <w:spacing w:val="9"/>
        </w:rPr>
        <w:t>所有创新不得篡改、剥离非遗核心技艺、文化基因；严禁脱离非遗本体的 </w:t>
      </w:r>
      <w:r>
        <w:rPr>
          <w:rFonts w:ascii="Times New Roman" w:hAnsi="Times New Roman" w:eastAsia="Times New Roman" w:cs="Times New Roman"/>
          <w:sz w:val="20"/>
          <w:szCs w:val="20"/>
          <w:spacing w:val="9"/>
        </w:rPr>
        <w:t>“</w:t>
      </w:r>
      <w:r>
        <w:rPr>
          <w:rFonts w:ascii="SimSun" w:hAnsi="SimSun" w:eastAsia="SimSun" w:cs="SimSun"/>
          <w:sz w:val="20"/>
          <w:szCs w:val="20"/>
          <w:spacing w:val="9"/>
        </w:rPr>
        <w:t>伪非遗创新</w:t>
      </w:r>
      <w:r>
        <w:rPr>
          <w:rFonts w:ascii="Times New Roman" w:hAnsi="Times New Roman" w:eastAsia="Times New Roman" w:cs="Times New Roman"/>
          <w:sz w:val="20"/>
          <w:szCs w:val="20"/>
          <w:spacing w:val="9"/>
        </w:rPr>
        <w:t>”</w:t>
      </w:r>
      <w:r>
        <w:rPr>
          <w:rFonts w:ascii="SimSun" w:hAnsi="SimSun" w:eastAsia="SimSun" w:cs="SimSun"/>
          <w:sz w:val="20"/>
          <w:szCs w:val="20"/>
          <w:spacing w:val="9"/>
        </w:rPr>
        <w:t>。</w:t>
      </w:r>
    </w:p>
    <w:p>
      <w:pPr>
        <w:pStyle w:val="BodyText"/>
        <w:spacing w:line="251" w:lineRule="auto"/>
        <w:rPr/>
      </w:pPr>
      <w:r/>
    </w:p>
    <w:p>
      <w:pPr>
        <w:ind w:left="1"/>
        <w:spacing w:before="66" w:line="229" w:lineRule="auto"/>
        <w:rPr>
          <w:rFonts w:ascii="SimHei" w:hAnsi="SimHei" w:eastAsia="SimHei" w:cs="SimHei"/>
          <w:sz w:val="20"/>
          <w:szCs w:val="20"/>
        </w:rPr>
      </w:pPr>
      <w:r>
        <w:rPr>
          <w:rFonts w:ascii="Times New Roman" w:hAnsi="Times New Roman" w:eastAsia="Times New Roman" w:cs="Times New Roman"/>
          <w:sz w:val="20"/>
          <w:szCs w:val="20"/>
          <w:spacing w:val="6"/>
        </w:rPr>
        <w:t>5.3  </w:t>
      </w:r>
      <w:r>
        <w:rPr>
          <w:rFonts w:ascii="SimHei" w:hAnsi="SimHei" w:eastAsia="SimHei" w:cs="SimHei"/>
          <w:sz w:val="20"/>
          <w:szCs w:val="20"/>
          <w:spacing w:val="6"/>
        </w:rPr>
        <w:t>传承与创新平衡原则</w:t>
      </w:r>
    </w:p>
    <w:p>
      <w:pPr>
        <w:pStyle w:val="BodyText"/>
        <w:spacing w:line="249" w:lineRule="auto"/>
        <w:rPr/>
      </w:pPr>
      <w:r/>
    </w:p>
    <w:p>
      <w:pPr>
        <w:ind w:left="2" w:right="56" w:firstLine="441"/>
        <w:spacing w:before="65" w:line="378" w:lineRule="auto"/>
        <w:rPr>
          <w:rFonts w:ascii="SimSun" w:hAnsi="SimSun" w:eastAsia="SimSun" w:cs="SimSun"/>
          <w:sz w:val="20"/>
          <w:szCs w:val="20"/>
        </w:rPr>
      </w:pPr>
      <w:r>
        <w:rPr>
          <w:rFonts w:ascii="SimSun" w:hAnsi="SimSun" w:eastAsia="SimSun" w:cs="SimSun"/>
          <w:sz w:val="20"/>
          <w:szCs w:val="20"/>
          <w:spacing w:val="7"/>
        </w:rPr>
        <w:t>以活态传承为基础底线，以市场化创新为发展加分项，兼顾小微传承人与规</w:t>
      </w:r>
      <w:r>
        <w:rPr>
          <w:rFonts w:ascii="SimSun" w:hAnsi="SimSun" w:eastAsia="SimSun" w:cs="SimSun"/>
          <w:sz w:val="20"/>
          <w:szCs w:val="20"/>
          <w:spacing w:val="6"/>
        </w:rPr>
        <w:t>模化文创企业差</w:t>
      </w:r>
      <w:r>
        <w:rPr>
          <w:rFonts w:ascii="SimSun" w:hAnsi="SimSun" w:eastAsia="SimSun" w:cs="SimSun"/>
          <w:sz w:val="20"/>
          <w:szCs w:val="20"/>
          <w:spacing w:val="5"/>
        </w:rPr>
        <w:t>异化评定。</w:t>
      </w:r>
    </w:p>
    <w:p>
      <w:pPr>
        <w:ind w:left="1"/>
        <w:spacing w:before="153" w:line="230" w:lineRule="auto"/>
        <w:rPr>
          <w:rFonts w:ascii="SimHei" w:hAnsi="SimHei" w:eastAsia="SimHei" w:cs="SimHei"/>
          <w:sz w:val="20"/>
          <w:szCs w:val="20"/>
        </w:rPr>
      </w:pPr>
      <w:r>
        <w:rPr>
          <w:rFonts w:ascii="Times New Roman" w:hAnsi="Times New Roman" w:eastAsia="Times New Roman" w:cs="Times New Roman"/>
          <w:sz w:val="20"/>
          <w:szCs w:val="20"/>
          <w:spacing w:val="6"/>
        </w:rPr>
        <w:t>5.4  </w:t>
      </w:r>
      <w:r>
        <w:rPr>
          <w:rFonts w:ascii="SimHei" w:hAnsi="SimHei" w:eastAsia="SimHei" w:cs="SimHei"/>
          <w:sz w:val="20"/>
          <w:szCs w:val="20"/>
          <w:spacing w:val="6"/>
        </w:rPr>
        <w:t>指标可核验可量化原则</w:t>
      </w:r>
    </w:p>
    <w:p>
      <w:pPr>
        <w:pStyle w:val="BodyText"/>
        <w:spacing w:line="247" w:lineRule="auto"/>
        <w:rPr/>
      </w:pPr>
      <w:r/>
    </w:p>
    <w:p>
      <w:pPr>
        <w:ind w:left="1" w:firstLine="423"/>
        <w:spacing w:before="66" w:line="381" w:lineRule="auto"/>
        <w:rPr>
          <w:rFonts w:ascii="SimSun" w:hAnsi="SimSun" w:eastAsia="SimSun" w:cs="SimSun"/>
          <w:sz w:val="20"/>
          <w:szCs w:val="20"/>
        </w:rPr>
      </w:pPr>
      <w:r>
        <w:rPr>
          <w:rFonts w:ascii="SimSun" w:hAnsi="SimSun" w:eastAsia="SimSun" w:cs="SimSun"/>
          <w:sz w:val="20"/>
          <w:szCs w:val="20"/>
          <w:spacing w:val="9"/>
        </w:rPr>
        <w:t>定量指标依托台账、专利、营收、传播数据；定性指标依托非遗</w:t>
      </w:r>
      <w:r>
        <w:rPr>
          <w:rFonts w:ascii="SimSun" w:hAnsi="SimSun" w:eastAsia="SimSun" w:cs="SimSun"/>
          <w:sz w:val="20"/>
          <w:szCs w:val="20"/>
          <w:spacing w:val="8"/>
        </w:rPr>
        <w:t>证书、传承档案、地方志、</w:t>
      </w:r>
      <w:r>
        <w:rPr>
          <w:rFonts w:ascii="SimSun" w:hAnsi="SimSun" w:eastAsia="SimSun" w:cs="SimSun"/>
          <w:sz w:val="20"/>
          <w:szCs w:val="20"/>
          <w:spacing w:val="6"/>
        </w:rPr>
        <w:t>现场实物核验。</w:t>
      </w:r>
    </w:p>
    <w:p>
      <w:pPr>
        <w:ind w:left="1"/>
        <w:spacing w:before="150" w:line="229" w:lineRule="auto"/>
        <w:rPr>
          <w:rFonts w:ascii="SimHei" w:hAnsi="SimHei" w:eastAsia="SimHei" w:cs="SimHei"/>
          <w:sz w:val="20"/>
          <w:szCs w:val="20"/>
        </w:rPr>
      </w:pPr>
      <w:r>
        <w:rPr>
          <w:rFonts w:ascii="Times New Roman" w:hAnsi="Times New Roman" w:eastAsia="Times New Roman" w:cs="Times New Roman"/>
          <w:sz w:val="20"/>
          <w:szCs w:val="20"/>
          <w:spacing w:val="6"/>
        </w:rPr>
        <w:t>5.5  </w:t>
      </w:r>
      <w:r>
        <w:rPr>
          <w:rFonts w:ascii="SimHei" w:hAnsi="SimHei" w:eastAsia="SimHei" w:cs="SimHei"/>
          <w:sz w:val="20"/>
          <w:szCs w:val="20"/>
          <w:spacing w:val="6"/>
        </w:rPr>
        <w:t>指标选取的原则</w:t>
      </w:r>
    </w:p>
    <w:p>
      <w:pPr>
        <w:pStyle w:val="BodyText"/>
        <w:spacing w:line="247" w:lineRule="auto"/>
        <w:rPr/>
      </w:pPr>
      <w:r/>
    </w:p>
    <w:p>
      <w:pPr>
        <w:ind w:right="51" w:firstLine="434"/>
        <w:spacing w:before="65" w:line="378" w:lineRule="auto"/>
        <w:jc w:val="both"/>
        <w:rPr>
          <w:rFonts w:ascii="SimSun" w:hAnsi="SimSun" w:eastAsia="SimSun" w:cs="SimSun"/>
          <w:sz w:val="20"/>
          <w:szCs w:val="20"/>
        </w:rPr>
      </w:pPr>
      <w:r>
        <w:rPr>
          <w:rFonts w:ascii="SimSun" w:hAnsi="SimSun" w:eastAsia="SimSun" w:cs="SimSun"/>
          <w:sz w:val="20"/>
          <w:szCs w:val="20"/>
          <w:spacing w:val="7"/>
        </w:rPr>
        <w:t>从品牌形成的全生命周期各阶段出发，结合历史传承、自然因素、人文因素、技术工艺、生</w:t>
      </w:r>
      <w:r>
        <w:rPr>
          <w:rFonts w:ascii="SimSun" w:hAnsi="SimSun" w:eastAsia="SimSun" w:cs="SimSun"/>
          <w:sz w:val="20"/>
          <w:szCs w:val="20"/>
          <w:spacing w:val="10"/>
        </w:rPr>
        <w:t>态环境 管理期望、企业社会责任等维度，选取能够表征该类品牌主要特征、能量化并可</w:t>
      </w:r>
      <w:r>
        <w:rPr>
          <w:rFonts w:ascii="SimSun" w:hAnsi="SimSun" w:eastAsia="SimSun" w:cs="SimSun"/>
          <w:sz w:val="20"/>
          <w:szCs w:val="20"/>
          <w:spacing w:val="9"/>
        </w:rPr>
        <w:t>检测验</w:t>
      </w:r>
      <w:r>
        <w:rPr>
          <w:rFonts w:ascii="SimSun" w:hAnsi="SimSun" w:eastAsia="SimSun" w:cs="SimSun"/>
          <w:sz w:val="20"/>
          <w:szCs w:val="20"/>
          <w:spacing w:val="10"/>
        </w:rPr>
        <w:t>证的定量 指标和可描述的定性指标，构成中国非物质文化遗产创新品牌评定标准指标体</w:t>
      </w:r>
      <w:r>
        <w:rPr>
          <w:rFonts w:ascii="SimSun" w:hAnsi="SimSun" w:eastAsia="SimSun" w:cs="SimSun"/>
          <w:sz w:val="20"/>
          <w:szCs w:val="20"/>
          <w:spacing w:val="9"/>
        </w:rPr>
        <w:t>系。中</w:t>
      </w:r>
      <w:r>
        <w:rPr>
          <w:rFonts w:ascii="SimSun" w:hAnsi="SimSun" w:eastAsia="SimSun" w:cs="SimSun"/>
          <w:sz w:val="20"/>
          <w:szCs w:val="20"/>
          <w:spacing w:val="8"/>
        </w:rPr>
        <w:t>国非物质文化遗产创新品牌评定标准的指标的选取不应限</w:t>
      </w:r>
      <w:r>
        <w:rPr>
          <w:rFonts w:ascii="SimSun" w:hAnsi="SimSun" w:eastAsia="SimSun" w:cs="SimSun"/>
          <w:sz w:val="20"/>
          <w:szCs w:val="20"/>
          <w:spacing w:val="7"/>
        </w:rPr>
        <w:t>制市场竞争行为，也不应牺牲品牌的质</w:t>
      </w:r>
      <w:r>
        <w:rPr>
          <w:rFonts w:ascii="SimSun" w:hAnsi="SimSun" w:eastAsia="SimSun" w:cs="SimSun"/>
          <w:sz w:val="20"/>
          <w:szCs w:val="20"/>
          <w:spacing w:val="9"/>
        </w:rPr>
        <w:t>量、性能，品牌对应的产品质量、安全或其他一些强制性标准应作为评定的前置基础。</w:t>
      </w:r>
    </w:p>
    <w:p>
      <w:pPr>
        <w:spacing w:before="153" w:line="230" w:lineRule="auto"/>
        <w:outlineLvl w:val="0"/>
        <w:rPr>
          <w:rFonts w:ascii="SimHei" w:hAnsi="SimHei" w:eastAsia="SimHei" w:cs="SimHei"/>
          <w:sz w:val="20"/>
          <w:szCs w:val="20"/>
        </w:rPr>
      </w:pPr>
      <w:bookmarkStart w:name="bookmark7" w:id="10"/>
      <w:bookmarkEnd w:id="10"/>
      <w:r>
        <w:rPr>
          <w:rFonts w:ascii="Times New Roman" w:hAnsi="Times New Roman" w:eastAsia="Times New Roman" w:cs="Times New Roman"/>
          <w:sz w:val="20"/>
          <w:szCs w:val="20"/>
          <w:spacing w:val="5"/>
        </w:rPr>
        <w:t>6.  </w:t>
      </w:r>
      <w:r>
        <w:rPr>
          <w:rFonts w:ascii="SimHei" w:hAnsi="SimHei" w:eastAsia="SimHei" w:cs="SimHei"/>
          <w:sz w:val="20"/>
          <w:szCs w:val="20"/>
          <w:spacing w:val="5"/>
        </w:rPr>
        <w:t>评定指标</w:t>
      </w:r>
    </w:p>
    <w:p>
      <w:pPr>
        <w:pStyle w:val="BodyText"/>
        <w:spacing w:line="248" w:lineRule="auto"/>
        <w:rPr/>
      </w:pPr>
      <w:r/>
    </w:p>
    <w:p>
      <w:pPr>
        <w:spacing w:before="66" w:line="231" w:lineRule="auto"/>
        <w:rPr>
          <w:rFonts w:ascii="SimHei" w:hAnsi="SimHei" w:eastAsia="SimHei" w:cs="SimHei"/>
          <w:sz w:val="20"/>
          <w:szCs w:val="20"/>
        </w:rPr>
      </w:pPr>
      <w:r>
        <w:rPr>
          <w:rFonts w:ascii="Times New Roman" w:hAnsi="Times New Roman" w:eastAsia="Times New Roman" w:cs="Times New Roman"/>
          <w:sz w:val="20"/>
          <w:szCs w:val="20"/>
          <w:spacing w:val="3"/>
        </w:rPr>
        <w:t>6.</w:t>
      </w:r>
      <w:r>
        <w:rPr>
          <w:rFonts w:ascii="Times New Roman" w:hAnsi="Times New Roman" w:eastAsia="Times New Roman" w:cs="Times New Roman"/>
          <w:sz w:val="20"/>
          <w:szCs w:val="20"/>
          <w:spacing w:val="-19"/>
        </w:rPr>
        <w:t xml:space="preserve"> </w:t>
      </w:r>
      <w:r>
        <w:rPr>
          <w:rFonts w:ascii="Times New Roman" w:hAnsi="Times New Roman" w:eastAsia="Times New Roman" w:cs="Times New Roman"/>
          <w:sz w:val="20"/>
          <w:szCs w:val="20"/>
          <w:spacing w:val="3"/>
        </w:rPr>
        <w:t>1  </w:t>
      </w:r>
      <w:r>
        <w:rPr>
          <w:rFonts w:ascii="SimHei" w:hAnsi="SimHei" w:eastAsia="SimHei" w:cs="SimHei"/>
          <w:sz w:val="20"/>
          <w:szCs w:val="20"/>
          <w:spacing w:val="3"/>
        </w:rPr>
        <w:t>指标体系框架</w:t>
      </w:r>
    </w:p>
    <w:p>
      <w:pPr>
        <w:pStyle w:val="BodyText"/>
        <w:spacing w:line="246" w:lineRule="auto"/>
        <w:rPr/>
      </w:pPr>
      <w:r/>
    </w:p>
    <w:p>
      <w:pPr>
        <w:ind w:left="435"/>
        <w:spacing w:before="65" w:line="228" w:lineRule="auto"/>
        <w:rPr>
          <w:rFonts w:ascii="SimSun" w:hAnsi="SimSun" w:eastAsia="SimSun" w:cs="SimSun"/>
          <w:sz w:val="20"/>
          <w:szCs w:val="20"/>
        </w:rPr>
      </w:pPr>
      <w:r>
        <w:rPr>
          <w:rFonts w:ascii="SimSun" w:hAnsi="SimSun" w:eastAsia="SimSun" w:cs="SimSun"/>
          <w:sz w:val="20"/>
          <w:szCs w:val="20"/>
          <w:spacing w:val="8"/>
        </w:rPr>
        <w:t>一级指标共</w:t>
      </w:r>
      <w:r>
        <w:rPr>
          <w:rFonts w:ascii="Times New Roman" w:hAnsi="Times New Roman" w:eastAsia="Times New Roman" w:cs="Times New Roman"/>
          <w:sz w:val="20"/>
          <w:szCs w:val="20"/>
          <w:spacing w:val="8"/>
        </w:rPr>
        <w:t>6</w:t>
      </w:r>
      <w:r>
        <w:rPr>
          <w:rFonts w:ascii="SimSun" w:hAnsi="SimSun" w:eastAsia="SimSun" w:cs="SimSun"/>
          <w:sz w:val="20"/>
          <w:szCs w:val="20"/>
          <w:spacing w:val="8"/>
        </w:rPr>
        <w:t>类，下设二级细分指标，总分</w:t>
      </w:r>
      <w:r>
        <w:rPr>
          <w:rFonts w:ascii="Times New Roman" w:hAnsi="Times New Roman" w:eastAsia="Times New Roman" w:cs="Times New Roman"/>
          <w:sz w:val="20"/>
          <w:szCs w:val="20"/>
          <w:spacing w:val="8"/>
        </w:rPr>
        <w:t>100</w:t>
      </w:r>
      <w:r>
        <w:rPr>
          <w:rFonts w:ascii="SimSun" w:hAnsi="SimSun" w:eastAsia="SimSun" w:cs="SimSun"/>
          <w:sz w:val="20"/>
          <w:szCs w:val="20"/>
          <w:spacing w:val="8"/>
        </w:rPr>
        <w:t>分。</w:t>
      </w:r>
    </w:p>
    <w:p>
      <w:pPr>
        <w:spacing w:line="228" w:lineRule="auto"/>
        <w:sectPr>
          <w:footerReference w:type="default" r:id="rId8"/>
          <w:pgSz w:w="11906" w:h="16839"/>
          <w:pgMar w:top="400" w:right="1534" w:bottom="1001" w:left="1596" w:header="0" w:footer="836" w:gutter="0"/>
        </w:sectPr>
        <w:rPr>
          <w:rFonts w:ascii="SimSun" w:hAnsi="SimSun" w:eastAsia="SimSun" w:cs="SimSun"/>
          <w:sz w:val="20"/>
          <w:szCs w:val="20"/>
        </w:rPr>
      </w:pPr>
    </w:p>
    <w:p>
      <w:pPr>
        <w:pStyle w:val="BodyText"/>
        <w:spacing w:line="249" w:lineRule="auto"/>
        <w:rPr/>
      </w:pPr>
      <w:r/>
    </w:p>
    <w:p>
      <w:pPr>
        <w:pStyle w:val="BodyText"/>
        <w:spacing w:line="249" w:lineRule="auto"/>
        <w:rPr/>
      </w:pPr>
      <w:r/>
    </w:p>
    <w:p>
      <w:pPr>
        <w:pStyle w:val="BodyText"/>
        <w:spacing w:line="249" w:lineRule="auto"/>
        <w:rPr/>
      </w:pPr>
      <w:r/>
    </w:p>
    <w:p>
      <w:pPr>
        <w:pStyle w:val="BodyText"/>
        <w:spacing w:line="250" w:lineRule="auto"/>
        <w:rPr/>
      </w:pPr>
      <w:r/>
    </w:p>
    <w:p>
      <w:pPr>
        <w:ind w:right="51" w:firstLine="436"/>
        <w:spacing w:before="65" w:line="379" w:lineRule="auto"/>
        <w:jc w:val="both"/>
        <w:rPr>
          <w:rFonts w:ascii="SimSun" w:hAnsi="SimSun" w:eastAsia="SimSun" w:cs="SimSun"/>
          <w:sz w:val="20"/>
          <w:szCs w:val="20"/>
        </w:rPr>
      </w:pPr>
      <w:r>
        <w:rPr>
          <w:rFonts w:ascii="SimSun" w:hAnsi="SimSun" w:eastAsia="SimSun" w:cs="SimSun"/>
          <w:sz w:val="20"/>
          <w:szCs w:val="20"/>
          <w:spacing w:val="7"/>
        </w:rPr>
        <w:t>一级指标包含：非遗资质层级指标、知识产权布局指标、活态传承谱系指标、非遗创新转化</w:t>
      </w:r>
      <w:r>
        <w:rPr>
          <w:rFonts w:ascii="SimSun" w:hAnsi="SimSun" w:eastAsia="SimSun" w:cs="SimSun"/>
          <w:sz w:val="20"/>
          <w:szCs w:val="20"/>
          <w:spacing w:val="8"/>
        </w:rPr>
        <w:t>指标、起源地指标、品牌运营与社会责任指标。 二级指标依据品牌类型（传承人小微品牌 </w:t>
      </w:r>
      <w:r>
        <w:rPr>
          <w:rFonts w:ascii="Times New Roman" w:hAnsi="Times New Roman" w:eastAsia="Times New Roman" w:cs="Times New Roman"/>
          <w:sz w:val="20"/>
          <w:szCs w:val="20"/>
          <w:spacing w:val="8"/>
        </w:rPr>
        <w:t>/  </w:t>
      </w:r>
      <w:r>
        <w:rPr>
          <w:rFonts w:ascii="SimSun" w:hAnsi="SimSun" w:eastAsia="SimSun" w:cs="SimSun"/>
          <w:sz w:val="20"/>
          <w:szCs w:val="20"/>
          <w:spacing w:val="8"/>
        </w:rPr>
        <w:t>企</w:t>
      </w:r>
      <w:r>
        <w:rPr>
          <w:rFonts w:ascii="SimSun" w:hAnsi="SimSun" w:eastAsia="SimSun" w:cs="SimSun"/>
          <w:sz w:val="20"/>
          <w:szCs w:val="20"/>
          <w:spacing w:val="8"/>
        </w:rPr>
        <w:t>业产业化品牌 </w:t>
      </w:r>
      <w:r>
        <w:rPr>
          <w:rFonts w:ascii="Times New Roman" w:hAnsi="Times New Roman" w:eastAsia="Times New Roman" w:cs="Times New Roman"/>
          <w:sz w:val="20"/>
          <w:szCs w:val="20"/>
          <w:spacing w:val="8"/>
        </w:rPr>
        <w:t>/  </w:t>
      </w:r>
      <w:r>
        <w:rPr>
          <w:rFonts w:ascii="SimSun" w:hAnsi="SimSun" w:eastAsia="SimSun" w:cs="SimSun"/>
          <w:sz w:val="20"/>
          <w:szCs w:val="20"/>
          <w:spacing w:val="8"/>
        </w:rPr>
        <w:t>区域公共品牌）差异化设置评分基准。</w:t>
      </w:r>
    </w:p>
    <w:p>
      <w:pPr>
        <w:ind w:left="1"/>
        <w:spacing w:before="152" w:line="229" w:lineRule="auto"/>
        <w:rPr>
          <w:rFonts w:ascii="SimHei" w:hAnsi="SimHei" w:eastAsia="SimHei" w:cs="SimHei"/>
          <w:sz w:val="20"/>
          <w:szCs w:val="20"/>
        </w:rPr>
      </w:pPr>
      <w:r>
        <w:rPr>
          <w:rFonts w:ascii="Times New Roman" w:hAnsi="Times New Roman" w:eastAsia="Times New Roman" w:cs="Times New Roman"/>
          <w:sz w:val="20"/>
          <w:szCs w:val="20"/>
          <w:spacing w:val="5"/>
        </w:rPr>
        <w:t>6.2  </w:t>
      </w:r>
      <w:r>
        <w:rPr>
          <w:rFonts w:ascii="SimHei" w:hAnsi="SimHei" w:eastAsia="SimHei" w:cs="SimHei"/>
          <w:sz w:val="20"/>
          <w:szCs w:val="20"/>
          <w:spacing w:val="5"/>
        </w:rPr>
        <w:t>评定指标选取</w:t>
      </w:r>
    </w:p>
    <w:p>
      <w:pPr>
        <w:pStyle w:val="BodyText"/>
        <w:spacing w:line="248" w:lineRule="auto"/>
        <w:rPr/>
      </w:pPr>
      <w:r/>
    </w:p>
    <w:p>
      <w:pPr>
        <w:ind w:left="420"/>
        <w:spacing w:before="65" w:line="227" w:lineRule="auto"/>
        <w:rPr>
          <w:rFonts w:ascii="SimSun" w:hAnsi="SimSun" w:eastAsia="SimSun" w:cs="SimSun"/>
          <w:sz w:val="20"/>
          <w:szCs w:val="20"/>
        </w:rPr>
      </w:pPr>
      <w:r>
        <w:rPr>
          <w:rFonts w:ascii="SimSun" w:hAnsi="SimSun" w:eastAsia="SimSun" w:cs="SimSun"/>
          <w:sz w:val="20"/>
          <w:szCs w:val="20"/>
          <w:spacing w:val="7"/>
        </w:rPr>
        <w:t>评定指标选取参见附录</w:t>
      </w:r>
      <w:r>
        <w:rPr>
          <w:rFonts w:ascii="SimSun" w:hAnsi="SimSun" w:eastAsia="SimSun" w:cs="SimSun"/>
          <w:sz w:val="20"/>
          <w:szCs w:val="20"/>
          <w:spacing w:val="-37"/>
        </w:rPr>
        <w:t xml:space="preserve"> </w:t>
      </w:r>
      <w:r>
        <w:rPr>
          <w:rFonts w:ascii="Times New Roman" w:hAnsi="Times New Roman" w:eastAsia="Times New Roman" w:cs="Times New Roman"/>
          <w:sz w:val="20"/>
          <w:szCs w:val="20"/>
          <w:spacing w:val="7"/>
        </w:rPr>
        <w:t>B</w:t>
      </w:r>
      <w:r>
        <w:rPr>
          <w:rFonts w:ascii="SimSun" w:hAnsi="SimSun" w:eastAsia="SimSun" w:cs="SimSun"/>
          <w:sz w:val="20"/>
          <w:szCs w:val="20"/>
          <w:spacing w:val="7"/>
        </w:rPr>
        <w:t>。</w:t>
      </w:r>
    </w:p>
    <w:p>
      <w:pPr>
        <w:pStyle w:val="BodyText"/>
        <w:spacing w:line="251" w:lineRule="auto"/>
        <w:rPr/>
      </w:pPr>
      <w:r/>
    </w:p>
    <w:p>
      <w:pPr>
        <w:ind w:left="1"/>
        <w:spacing w:before="65" w:line="230" w:lineRule="auto"/>
        <w:rPr>
          <w:rFonts w:ascii="SimHei" w:hAnsi="SimHei" w:eastAsia="SimHei" w:cs="SimHei"/>
          <w:sz w:val="20"/>
          <w:szCs w:val="20"/>
        </w:rPr>
      </w:pPr>
      <w:r>
        <w:rPr>
          <w:rFonts w:ascii="Times New Roman" w:hAnsi="Times New Roman" w:eastAsia="Times New Roman" w:cs="Times New Roman"/>
          <w:sz w:val="20"/>
          <w:szCs w:val="20"/>
          <w:spacing w:val="6"/>
        </w:rPr>
        <w:t>6.3  </w:t>
      </w:r>
      <w:r>
        <w:rPr>
          <w:rFonts w:ascii="SimHei" w:hAnsi="SimHei" w:eastAsia="SimHei" w:cs="SimHei"/>
          <w:sz w:val="20"/>
          <w:szCs w:val="20"/>
          <w:spacing w:val="6"/>
        </w:rPr>
        <w:t>指标基准值确定原则</w:t>
      </w:r>
    </w:p>
    <w:p>
      <w:pPr>
        <w:pStyle w:val="BodyText"/>
        <w:spacing w:line="250" w:lineRule="auto"/>
        <w:rPr/>
      </w:pPr>
      <w:r/>
    </w:p>
    <w:p>
      <w:pPr>
        <w:ind w:left="437"/>
        <w:spacing w:before="65" w:line="228" w:lineRule="auto"/>
        <w:rPr>
          <w:rFonts w:ascii="SimSun" w:hAnsi="SimSun" w:eastAsia="SimSun" w:cs="SimSun"/>
          <w:sz w:val="20"/>
          <w:szCs w:val="20"/>
        </w:rPr>
      </w:pPr>
      <w:r>
        <w:rPr>
          <w:rFonts w:ascii="Times New Roman" w:hAnsi="Times New Roman" w:eastAsia="Times New Roman" w:cs="Times New Roman"/>
          <w:sz w:val="20"/>
          <w:szCs w:val="20"/>
          <w:spacing w:val="7"/>
        </w:rPr>
        <w:t>1</w:t>
      </w:r>
      <w:r>
        <w:rPr>
          <w:rFonts w:ascii="SimSun" w:hAnsi="SimSun" w:eastAsia="SimSun" w:cs="SimSun"/>
          <w:sz w:val="20"/>
          <w:szCs w:val="20"/>
          <w:spacing w:val="7"/>
        </w:rPr>
        <w:t>）非遗层级基准：</w:t>
      </w:r>
      <w:r>
        <w:rPr>
          <w:rFonts w:ascii="SimSun" w:hAnsi="SimSun" w:eastAsia="SimSun" w:cs="SimSun"/>
          <w:sz w:val="20"/>
          <w:szCs w:val="20"/>
          <w:spacing w:val="-51"/>
        </w:rPr>
        <w:t xml:space="preserve"> </w:t>
      </w:r>
      <w:r>
        <w:rPr>
          <w:rFonts w:ascii="SimSun" w:hAnsi="SimSun" w:eastAsia="SimSun" w:cs="SimSun"/>
          <w:sz w:val="20"/>
          <w:szCs w:val="20"/>
          <w:spacing w:val="7"/>
        </w:rPr>
        <w:t>以县级非遗名录为最低准入底线，逐级上浮分值；</w:t>
      </w:r>
    </w:p>
    <w:p>
      <w:pPr>
        <w:pStyle w:val="BodyText"/>
        <w:spacing w:line="250" w:lineRule="auto"/>
        <w:rPr/>
      </w:pPr>
      <w:r/>
    </w:p>
    <w:p>
      <w:pPr>
        <w:ind w:left="417"/>
        <w:spacing w:before="66" w:line="228" w:lineRule="auto"/>
        <w:rPr>
          <w:rFonts w:ascii="SimSun" w:hAnsi="SimSun" w:eastAsia="SimSun" w:cs="SimSun"/>
          <w:sz w:val="20"/>
          <w:szCs w:val="20"/>
        </w:rPr>
      </w:pPr>
      <w:r>
        <w:rPr>
          <w:rFonts w:ascii="Times New Roman" w:hAnsi="Times New Roman" w:eastAsia="Times New Roman" w:cs="Times New Roman"/>
          <w:sz w:val="20"/>
          <w:szCs w:val="20"/>
          <w:spacing w:val="5"/>
        </w:rPr>
        <w:t>2</w:t>
      </w:r>
      <w:r>
        <w:rPr>
          <w:rFonts w:ascii="SimSun" w:hAnsi="SimSun" w:eastAsia="SimSun" w:cs="SimSun"/>
          <w:sz w:val="20"/>
          <w:szCs w:val="20"/>
          <w:spacing w:val="5"/>
        </w:rPr>
        <w:t>）知识产权基准：</w:t>
      </w:r>
      <w:r>
        <w:rPr>
          <w:rFonts w:ascii="SimSun" w:hAnsi="SimSun" w:eastAsia="SimSun" w:cs="SimSun"/>
          <w:sz w:val="20"/>
          <w:szCs w:val="20"/>
          <w:spacing w:val="-44"/>
        </w:rPr>
        <w:t xml:space="preserve"> </w:t>
      </w:r>
      <w:r>
        <w:rPr>
          <w:rFonts w:ascii="SimSun" w:hAnsi="SimSun" w:eastAsia="SimSun" w:cs="SimSun"/>
          <w:sz w:val="20"/>
          <w:szCs w:val="20"/>
          <w:spacing w:val="5"/>
        </w:rPr>
        <w:t>以</w:t>
      </w:r>
      <w:r>
        <w:rPr>
          <w:rFonts w:ascii="SimSun" w:hAnsi="SimSun" w:eastAsia="SimSun" w:cs="SimSun"/>
          <w:sz w:val="20"/>
          <w:szCs w:val="20"/>
          <w:spacing w:val="-20"/>
        </w:rPr>
        <w:t xml:space="preserve"> </w:t>
      </w:r>
      <w:r>
        <w:rPr>
          <w:rFonts w:ascii="Times New Roman" w:hAnsi="Times New Roman" w:eastAsia="Times New Roman" w:cs="Times New Roman"/>
          <w:sz w:val="20"/>
          <w:szCs w:val="20"/>
          <w:spacing w:val="5"/>
        </w:rPr>
        <w:t>1 </w:t>
      </w:r>
      <w:r>
        <w:rPr>
          <w:rFonts w:ascii="SimSun" w:hAnsi="SimSun" w:eastAsia="SimSun" w:cs="SimSun"/>
          <w:sz w:val="20"/>
          <w:szCs w:val="20"/>
          <w:spacing w:val="5"/>
        </w:rPr>
        <w:t>项商标</w:t>
      </w:r>
      <w:r>
        <w:rPr>
          <w:rFonts w:ascii="Times New Roman" w:hAnsi="Times New Roman" w:eastAsia="Times New Roman" w:cs="Times New Roman"/>
          <w:sz w:val="20"/>
          <w:szCs w:val="20"/>
          <w:spacing w:val="5"/>
        </w:rPr>
        <w:t>+</w:t>
      </w:r>
      <w:r>
        <w:rPr>
          <w:rFonts w:ascii="Times New Roman" w:hAnsi="Times New Roman" w:eastAsia="Times New Roman" w:cs="Times New Roman"/>
          <w:sz w:val="20"/>
          <w:szCs w:val="20"/>
          <w:spacing w:val="27"/>
          <w:w w:val="101"/>
        </w:rPr>
        <w:t xml:space="preserve"> </w:t>
      </w:r>
      <w:r>
        <w:rPr>
          <w:rFonts w:ascii="Times New Roman" w:hAnsi="Times New Roman" w:eastAsia="Times New Roman" w:cs="Times New Roman"/>
          <w:sz w:val="20"/>
          <w:szCs w:val="20"/>
          <w:spacing w:val="5"/>
        </w:rPr>
        <w:t>1</w:t>
      </w:r>
      <w:r>
        <w:rPr>
          <w:rFonts w:ascii="Times New Roman" w:hAnsi="Times New Roman" w:eastAsia="Times New Roman" w:cs="Times New Roman"/>
          <w:sz w:val="20"/>
          <w:szCs w:val="20"/>
          <w:spacing w:val="15"/>
        </w:rPr>
        <w:t xml:space="preserve"> </w:t>
      </w:r>
      <w:r>
        <w:rPr>
          <w:rFonts w:ascii="SimSun" w:hAnsi="SimSun" w:eastAsia="SimSun" w:cs="SimSun"/>
          <w:sz w:val="20"/>
          <w:szCs w:val="20"/>
          <w:spacing w:val="5"/>
        </w:rPr>
        <w:t>项配套版权或专利为最低达标基准；</w:t>
      </w:r>
    </w:p>
    <w:p>
      <w:pPr>
        <w:pStyle w:val="BodyText"/>
        <w:spacing w:line="250" w:lineRule="auto"/>
        <w:rPr/>
      </w:pPr>
      <w:r/>
    </w:p>
    <w:p>
      <w:pPr>
        <w:ind w:left="421"/>
        <w:spacing w:before="66" w:line="227" w:lineRule="auto"/>
        <w:rPr>
          <w:rFonts w:ascii="SimSun" w:hAnsi="SimSun" w:eastAsia="SimSun" w:cs="SimSun"/>
          <w:sz w:val="20"/>
          <w:szCs w:val="20"/>
        </w:rPr>
      </w:pPr>
      <w:r>
        <w:rPr>
          <w:rFonts w:ascii="Times New Roman" w:hAnsi="Times New Roman" w:eastAsia="Times New Roman" w:cs="Times New Roman"/>
          <w:sz w:val="20"/>
          <w:szCs w:val="20"/>
          <w:spacing w:val="7"/>
        </w:rPr>
        <w:t>3</w:t>
      </w:r>
      <w:r>
        <w:rPr>
          <w:rFonts w:ascii="SimSun" w:hAnsi="SimSun" w:eastAsia="SimSun" w:cs="SimSun"/>
          <w:sz w:val="20"/>
          <w:szCs w:val="20"/>
          <w:spacing w:val="7"/>
        </w:rPr>
        <w:t>）传承基准：</w:t>
      </w:r>
      <w:r>
        <w:rPr>
          <w:rFonts w:ascii="SimSun" w:hAnsi="SimSun" w:eastAsia="SimSun" w:cs="SimSun"/>
          <w:sz w:val="20"/>
          <w:szCs w:val="20"/>
          <w:spacing w:val="-57"/>
        </w:rPr>
        <w:t xml:space="preserve"> </w:t>
      </w:r>
      <w:r>
        <w:rPr>
          <w:rFonts w:ascii="SimSun" w:hAnsi="SimSun" w:eastAsia="SimSun" w:cs="SimSun"/>
          <w:sz w:val="20"/>
          <w:szCs w:val="20"/>
          <w:spacing w:val="7"/>
        </w:rPr>
        <w:t>以</w:t>
      </w:r>
      <w:r>
        <w:rPr>
          <w:rFonts w:ascii="SimSun" w:hAnsi="SimSun" w:eastAsia="SimSun" w:cs="SimSun"/>
          <w:sz w:val="20"/>
          <w:szCs w:val="20"/>
          <w:spacing w:val="-41"/>
        </w:rPr>
        <w:t xml:space="preserve"> </w:t>
      </w:r>
      <w:r>
        <w:rPr>
          <w:rFonts w:ascii="Times New Roman" w:hAnsi="Times New Roman" w:eastAsia="Times New Roman" w:cs="Times New Roman"/>
          <w:sz w:val="20"/>
          <w:szCs w:val="20"/>
          <w:spacing w:val="7"/>
        </w:rPr>
        <w:t>2 </w:t>
      </w:r>
      <w:r>
        <w:rPr>
          <w:rFonts w:ascii="SimSun" w:hAnsi="SimSun" w:eastAsia="SimSun" w:cs="SimSun"/>
          <w:sz w:val="20"/>
          <w:szCs w:val="20"/>
          <w:spacing w:val="7"/>
        </w:rPr>
        <w:t>代传承、年度常态化传习为</w:t>
      </w:r>
      <w:r>
        <w:rPr>
          <w:rFonts w:ascii="SimSun" w:hAnsi="SimSun" w:eastAsia="SimSun" w:cs="SimSun"/>
          <w:sz w:val="20"/>
          <w:szCs w:val="20"/>
          <w:spacing w:val="6"/>
        </w:rPr>
        <w:t>最低合格线；</w:t>
      </w:r>
    </w:p>
    <w:p>
      <w:pPr>
        <w:pStyle w:val="BodyText"/>
        <w:spacing w:line="251" w:lineRule="auto"/>
        <w:rPr/>
      </w:pPr>
      <w:r/>
    </w:p>
    <w:p>
      <w:pPr>
        <w:ind w:left="416"/>
        <w:spacing w:before="65" w:line="228" w:lineRule="auto"/>
        <w:rPr>
          <w:rFonts w:ascii="SimSun" w:hAnsi="SimSun" w:eastAsia="SimSun" w:cs="SimSun"/>
          <w:sz w:val="20"/>
          <w:szCs w:val="20"/>
        </w:rPr>
      </w:pPr>
      <w:r>
        <w:rPr>
          <w:rFonts w:ascii="Times New Roman" w:hAnsi="Times New Roman" w:eastAsia="Times New Roman" w:cs="Times New Roman"/>
          <w:sz w:val="20"/>
          <w:szCs w:val="20"/>
          <w:spacing w:val="9"/>
        </w:rPr>
        <w:t>4</w:t>
      </w:r>
      <w:r>
        <w:rPr>
          <w:rFonts w:ascii="SimSun" w:hAnsi="SimSun" w:eastAsia="SimSun" w:cs="SimSun"/>
          <w:sz w:val="20"/>
          <w:szCs w:val="20"/>
          <w:spacing w:val="9"/>
        </w:rPr>
        <w:t>）创新基准：不唯营收规模，兼顾小微手工品牌与规模化文创企业差异化达标标准。</w:t>
      </w:r>
    </w:p>
    <w:p>
      <w:pPr>
        <w:pStyle w:val="BodyText"/>
        <w:spacing w:line="253" w:lineRule="auto"/>
        <w:rPr/>
      </w:pPr>
      <w:r/>
    </w:p>
    <w:p>
      <w:pPr>
        <w:ind w:left="1"/>
        <w:spacing w:before="65" w:line="230" w:lineRule="auto"/>
        <w:rPr>
          <w:rFonts w:ascii="SimHei" w:hAnsi="SimHei" w:eastAsia="SimHei" w:cs="SimHei"/>
          <w:sz w:val="20"/>
          <w:szCs w:val="20"/>
        </w:rPr>
      </w:pPr>
      <w:r>
        <w:rPr>
          <w:rFonts w:ascii="Times New Roman" w:hAnsi="Times New Roman" w:eastAsia="Times New Roman" w:cs="Times New Roman"/>
          <w:sz w:val="20"/>
          <w:szCs w:val="20"/>
          <w:spacing w:val="5"/>
        </w:rPr>
        <w:t>6.4  </w:t>
      </w:r>
      <w:r>
        <w:rPr>
          <w:rFonts w:ascii="SimHei" w:hAnsi="SimHei" w:eastAsia="SimHei" w:cs="SimHei"/>
          <w:sz w:val="20"/>
          <w:szCs w:val="20"/>
          <w:spacing w:val="5"/>
        </w:rPr>
        <w:t>指标判定依据</w:t>
      </w:r>
    </w:p>
    <w:p>
      <w:pPr>
        <w:pStyle w:val="BodyText"/>
        <w:spacing w:line="247" w:lineRule="auto"/>
        <w:rPr/>
      </w:pPr>
      <w:r/>
    </w:p>
    <w:p>
      <w:pPr>
        <w:ind w:firstLine="425"/>
        <w:spacing w:before="66" w:line="378" w:lineRule="auto"/>
        <w:jc w:val="both"/>
        <w:rPr>
          <w:rFonts w:ascii="SimSun" w:hAnsi="SimSun" w:eastAsia="SimSun" w:cs="SimSun"/>
          <w:sz w:val="20"/>
          <w:szCs w:val="20"/>
        </w:rPr>
      </w:pPr>
      <w:r>
        <w:rPr>
          <w:rFonts w:ascii="SimSun" w:hAnsi="SimSun" w:eastAsia="SimSun" w:cs="SimSun"/>
          <w:sz w:val="20"/>
          <w:szCs w:val="20"/>
          <w:spacing w:val="7"/>
        </w:rPr>
        <w:t>定量指标：非遗名录证书、知识产权登记证书、财务营收报表、传习活动台账、媒体传播统</w:t>
      </w:r>
      <w:r>
        <w:rPr>
          <w:rFonts w:ascii="SimSun" w:hAnsi="SimSun" w:eastAsia="SimSun" w:cs="SimSun"/>
          <w:sz w:val="20"/>
          <w:szCs w:val="20"/>
          <w:spacing w:val="9"/>
        </w:rPr>
        <w:t>计、专利检索报告；定性指标：传承谱系档案、地方志史料、现场技艺实操核验、传</w:t>
      </w:r>
      <w:r>
        <w:rPr>
          <w:rFonts w:ascii="SimSun" w:hAnsi="SimSun" w:eastAsia="SimSun" w:cs="SimSun"/>
          <w:sz w:val="20"/>
          <w:szCs w:val="20"/>
          <w:spacing w:val="8"/>
        </w:rPr>
        <w:t>承人访谈、</w:t>
      </w:r>
      <w:r>
        <w:rPr>
          <w:rFonts w:ascii="SimSun" w:hAnsi="SimSun" w:eastAsia="SimSun" w:cs="SimSun"/>
          <w:sz w:val="20"/>
          <w:szCs w:val="20"/>
          <w:spacing w:val="7"/>
        </w:rPr>
        <w:t>专家现场评审记录。</w:t>
      </w:r>
    </w:p>
    <w:p>
      <w:pPr>
        <w:ind w:left="1" w:right="56" w:firstLine="424"/>
        <w:spacing w:before="152" w:line="378" w:lineRule="auto"/>
        <w:rPr>
          <w:rFonts w:ascii="SimSun" w:hAnsi="SimSun" w:eastAsia="SimSun" w:cs="SimSun"/>
          <w:sz w:val="20"/>
          <w:szCs w:val="20"/>
        </w:rPr>
      </w:pPr>
      <w:r>
        <w:rPr>
          <w:rFonts w:ascii="SimSun" w:hAnsi="SimSun" w:eastAsia="SimSun" w:cs="SimSun"/>
          <w:sz w:val="20"/>
          <w:szCs w:val="20"/>
          <w:spacing w:val="7"/>
        </w:rPr>
        <w:t>定量指标应给出计算或检测方法，相关的计算或检测方法应优先采用已有的国际标准、国家</w:t>
      </w:r>
      <w:r>
        <w:rPr>
          <w:rFonts w:ascii="SimSun" w:hAnsi="SimSun" w:eastAsia="SimSun" w:cs="SimSun"/>
          <w:sz w:val="20"/>
          <w:szCs w:val="20"/>
          <w:spacing w:val="9"/>
        </w:rPr>
        <w:t>标准、行业标准、地方标准或团体标准等；定性指标应给出符合性的定性说明。</w:t>
      </w:r>
    </w:p>
    <w:p>
      <w:pPr>
        <w:ind w:left="1"/>
        <w:spacing w:before="156" w:line="229" w:lineRule="auto"/>
        <w:rPr>
          <w:rFonts w:ascii="SimHei" w:hAnsi="SimHei" w:eastAsia="SimHei" w:cs="SimHei"/>
          <w:sz w:val="20"/>
          <w:szCs w:val="20"/>
        </w:rPr>
      </w:pPr>
      <w:r>
        <w:rPr>
          <w:rFonts w:ascii="Times New Roman" w:hAnsi="Times New Roman" w:eastAsia="Times New Roman" w:cs="Times New Roman"/>
          <w:sz w:val="20"/>
          <w:szCs w:val="20"/>
          <w:spacing w:val="7"/>
        </w:rPr>
        <w:t>6.5  </w:t>
      </w:r>
      <w:r>
        <w:rPr>
          <w:rFonts w:ascii="SimHei" w:hAnsi="SimHei" w:eastAsia="SimHei" w:cs="SimHei"/>
          <w:sz w:val="20"/>
          <w:szCs w:val="20"/>
          <w:spacing w:val="7"/>
        </w:rPr>
        <w:t>来源、管理及创新指标</w:t>
      </w:r>
    </w:p>
    <w:p>
      <w:pPr>
        <w:pStyle w:val="BodyText"/>
        <w:spacing w:line="249" w:lineRule="auto"/>
        <w:rPr/>
      </w:pPr>
      <w:r/>
    </w:p>
    <w:p>
      <w:pPr>
        <w:ind w:left="1" w:right="54" w:firstLine="418"/>
        <w:spacing w:before="66" w:line="378" w:lineRule="auto"/>
        <w:rPr>
          <w:rFonts w:ascii="SimSun" w:hAnsi="SimSun" w:eastAsia="SimSun" w:cs="SimSun"/>
          <w:sz w:val="20"/>
          <w:szCs w:val="20"/>
        </w:rPr>
      </w:pPr>
      <w:r>
        <w:rPr>
          <w:rFonts w:ascii="SimSun" w:hAnsi="SimSun" w:eastAsia="SimSun" w:cs="SimSun"/>
          <w:sz w:val="20"/>
          <w:szCs w:val="20"/>
          <w:spacing w:val="8"/>
        </w:rPr>
        <w:t>在品牌来源、管理、品牌保护、工艺技术、研</w:t>
      </w:r>
      <w:r>
        <w:rPr>
          <w:rFonts w:ascii="SimSun" w:hAnsi="SimSun" w:eastAsia="SimSun" w:cs="SimSun"/>
          <w:sz w:val="20"/>
          <w:szCs w:val="20"/>
          <w:spacing w:val="7"/>
        </w:rPr>
        <w:t>发创新等方面与品牌及品牌关联产品特征有关</w:t>
      </w:r>
      <w:r>
        <w:rPr>
          <w:rFonts w:ascii="SimSun" w:hAnsi="SimSun" w:eastAsia="SimSun" w:cs="SimSun"/>
          <w:sz w:val="20"/>
          <w:szCs w:val="20"/>
          <w:spacing w:val="5"/>
        </w:rPr>
        <w:t>联的指标。</w:t>
      </w:r>
    </w:p>
    <w:p>
      <w:pPr>
        <w:ind w:left="1"/>
        <w:spacing w:before="152" w:line="231" w:lineRule="auto"/>
        <w:rPr>
          <w:rFonts w:ascii="SimHei" w:hAnsi="SimHei" w:eastAsia="SimHei" w:cs="SimHei"/>
          <w:sz w:val="20"/>
          <w:szCs w:val="20"/>
        </w:rPr>
      </w:pPr>
      <w:r>
        <w:rPr>
          <w:rFonts w:ascii="Times New Roman" w:hAnsi="Times New Roman" w:eastAsia="Times New Roman" w:cs="Times New Roman"/>
          <w:sz w:val="20"/>
          <w:szCs w:val="20"/>
          <w:spacing w:val="4"/>
        </w:rPr>
        <w:t>6.6</w:t>
      </w:r>
      <w:r>
        <w:rPr>
          <w:rFonts w:ascii="Times New Roman" w:hAnsi="Times New Roman" w:eastAsia="Times New Roman" w:cs="Times New Roman"/>
          <w:sz w:val="20"/>
          <w:szCs w:val="20"/>
          <w:spacing w:val="8"/>
        </w:rPr>
        <w:t xml:space="preserve">  </w:t>
      </w:r>
      <w:r>
        <w:rPr>
          <w:rFonts w:ascii="SimHei" w:hAnsi="SimHei" w:eastAsia="SimHei" w:cs="SimHei"/>
          <w:sz w:val="20"/>
          <w:szCs w:val="20"/>
          <w:spacing w:val="4"/>
        </w:rPr>
        <w:t>应用指标</w:t>
      </w:r>
    </w:p>
    <w:p>
      <w:pPr>
        <w:pStyle w:val="BodyText"/>
        <w:spacing w:line="249" w:lineRule="auto"/>
        <w:rPr/>
      </w:pPr>
      <w:r/>
    </w:p>
    <w:p>
      <w:pPr>
        <w:ind w:right="56" w:firstLine="546"/>
        <w:spacing w:before="66" w:line="378" w:lineRule="auto"/>
        <w:rPr>
          <w:rFonts w:ascii="SimSun" w:hAnsi="SimSun" w:eastAsia="SimSun" w:cs="SimSun"/>
          <w:sz w:val="20"/>
          <w:szCs w:val="20"/>
        </w:rPr>
      </w:pPr>
      <w:r>
        <w:rPr>
          <w:rFonts w:ascii="SimSun" w:hAnsi="SimSun" w:eastAsia="SimSun" w:cs="SimSun"/>
          <w:sz w:val="20"/>
          <w:szCs w:val="20"/>
          <w:spacing w:val="10"/>
        </w:rPr>
        <w:t>以品牌运维、知识产权、影响力、传播力、</w:t>
      </w:r>
      <w:r>
        <w:rPr>
          <w:rFonts w:ascii="SimSun" w:hAnsi="SimSun" w:eastAsia="SimSun" w:cs="SimSun"/>
          <w:sz w:val="20"/>
          <w:szCs w:val="20"/>
          <w:spacing w:val="9"/>
        </w:rPr>
        <w:t>美誉度、市场占有率及品牌价值等维度进行考</w:t>
      </w:r>
      <w:r>
        <w:rPr>
          <w:rFonts w:ascii="SimSun" w:hAnsi="SimSun" w:eastAsia="SimSun" w:cs="SimSun"/>
          <w:sz w:val="20"/>
          <w:szCs w:val="20"/>
          <w:spacing w:val="5"/>
        </w:rPr>
        <w:t>量的指标。</w:t>
      </w:r>
    </w:p>
    <w:p>
      <w:pPr>
        <w:spacing w:before="153" w:line="229" w:lineRule="auto"/>
        <w:outlineLvl w:val="0"/>
        <w:rPr>
          <w:rFonts w:ascii="SimHei" w:hAnsi="SimHei" w:eastAsia="SimHei" w:cs="SimHei"/>
          <w:sz w:val="20"/>
          <w:szCs w:val="20"/>
        </w:rPr>
      </w:pPr>
      <w:bookmarkStart w:name="bookmark8" w:id="11"/>
      <w:bookmarkEnd w:id="11"/>
      <w:r>
        <w:rPr>
          <w:rFonts w:ascii="Times New Roman" w:hAnsi="Times New Roman" w:eastAsia="Times New Roman" w:cs="Times New Roman"/>
          <w:sz w:val="20"/>
          <w:szCs w:val="20"/>
          <w:spacing w:val="8"/>
        </w:rPr>
        <w:t>7  </w:t>
      </w:r>
      <w:r>
        <w:rPr>
          <w:rFonts w:ascii="SimHei" w:hAnsi="SimHei" w:eastAsia="SimHei" w:cs="SimHei"/>
          <w:sz w:val="20"/>
          <w:szCs w:val="20"/>
          <w:spacing w:val="8"/>
        </w:rPr>
        <w:t>非遗创新品牌及对应产品探源与活态传承体系</w:t>
      </w:r>
    </w:p>
    <w:p>
      <w:pPr>
        <w:pStyle w:val="BodyText"/>
        <w:spacing w:line="249" w:lineRule="auto"/>
        <w:rPr/>
      </w:pPr>
      <w:r/>
    </w:p>
    <w:p>
      <w:pPr>
        <w:ind w:left="859" w:right="51" w:hanging="422"/>
        <w:spacing w:before="65" w:line="374" w:lineRule="auto"/>
        <w:rPr>
          <w:rFonts w:ascii="SimSun" w:hAnsi="SimSun" w:eastAsia="SimSun" w:cs="SimSun"/>
          <w:sz w:val="20"/>
          <w:szCs w:val="20"/>
        </w:rPr>
      </w:pPr>
      <w:r>
        <w:rPr>
          <w:rFonts w:ascii="Times New Roman" w:hAnsi="Times New Roman" w:eastAsia="Times New Roman" w:cs="Times New Roman"/>
          <w:sz w:val="20"/>
          <w:szCs w:val="20"/>
          <w:spacing w:val="8"/>
        </w:rPr>
        <w:t>1)     </w:t>
      </w:r>
      <w:r>
        <w:rPr>
          <w:rFonts w:ascii="SimSun" w:hAnsi="SimSun" w:eastAsia="SimSun" w:cs="SimSun"/>
          <w:sz w:val="20"/>
          <w:szCs w:val="20"/>
          <w:spacing w:val="8"/>
        </w:rPr>
        <w:t>申报主体必须建立完整数字化 </w:t>
      </w:r>
      <w:r>
        <w:rPr>
          <w:rFonts w:ascii="Times New Roman" w:hAnsi="Times New Roman" w:eastAsia="Times New Roman" w:cs="Times New Roman"/>
          <w:sz w:val="20"/>
          <w:szCs w:val="20"/>
          <w:spacing w:val="8"/>
        </w:rPr>
        <w:t>+</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8"/>
        </w:rPr>
        <w:t>纸</w:t>
      </w:r>
      <w:r>
        <w:rPr>
          <w:rFonts w:ascii="SimSun" w:hAnsi="SimSun" w:eastAsia="SimSun" w:cs="SimSun"/>
          <w:sz w:val="20"/>
          <w:szCs w:val="20"/>
          <w:spacing w:val="7"/>
        </w:rPr>
        <w:t>质双套非遗溯源档案库，永久留存：县级及以上非</w:t>
      </w:r>
      <w:r>
        <w:rPr>
          <w:rFonts w:ascii="SimSun" w:hAnsi="SimSun" w:eastAsia="SimSun" w:cs="SimSun"/>
          <w:sz w:val="20"/>
          <w:szCs w:val="20"/>
          <w:spacing w:val="12"/>
        </w:rPr>
        <w:t>遗认定文件、传承人证书、完整传承谱系图、历代工艺影像、古法流程记录、知识产</w:t>
      </w:r>
      <w:r>
        <w:rPr>
          <w:rFonts w:ascii="SimSun" w:hAnsi="SimSun" w:eastAsia="SimSun" w:cs="SimSun"/>
          <w:sz w:val="20"/>
          <w:szCs w:val="20"/>
          <w:spacing w:val="9"/>
        </w:rPr>
        <w:t>权登记证书、创新产品研发档案、年度传习台账。</w:t>
      </w:r>
    </w:p>
    <w:p>
      <w:pPr>
        <w:ind w:left="859" w:right="54" w:hanging="442"/>
        <w:spacing w:before="167" w:line="367" w:lineRule="auto"/>
        <w:rPr>
          <w:rFonts w:ascii="SimSun" w:hAnsi="SimSun" w:eastAsia="SimSun" w:cs="SimSun"/>
          <w:sz w:val="20"/>
          <w:szCs w:val="20"/>
        </w:rPr>
      </w:pPr>
      <w:r>
        <w:rPr>
          <w:rFonts w:ascii="Times New Roman" w:hAnsi="Times New Roman" w:eastAsia="Times New Roman" w:cs="Times New Roman"/>
          <w:sz w:val="20"/>
          <w:szCs w:val="20"/>
          <w:spacing w:val="9"/>
        </w:rPr>
        <w:t>2)     </w:t>
      </w:r>
      <w:r>
        <w:rPr>
          <w:rFonts w:ascii="SimSun" w:hAnsi="SimSun" w:eastAsia="SimSun" w:cs="SimSun"/>
          <w:sz w:val="20"/>
          <w:szCs w:val="20"/>
          <w:spacing w:val="9"/>
        </w:rPr>
        <w:t>实现全链条可追溯：非遗原料、传统手工制作、现代化创新改良、成品销售、</w:t>
      </w:r>
      <w:r>
        <w:rPr>
          <w:rFonts w:ascii="Times New Roman" w:hAnsi="Times New Roman" w:eastAsia="Times New Roman" w:cs="Times New Roman"/>
          <w:sz w:val="20"/>
          <w:szCs w:val="20"/>
        </w:rPr>
        <w:t>IP</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9"/>
        </w:rPr>
        <w:t>授权</w:t>
      </w:r>
      <w:r>
        <w:rPr>
          <w:rFonts w:ascii="SimSun" w:hAnsi="SimSun" w:eastAsia="SimSun" w:cs="SimSun"/>
          <w:sz w:val="20"/>
          <w:szCs w:val="20"/>
          <w:spacing w:val="9"/>
        </w:rPr>
        <w:t>全环节建立台账，杜绝虚假贴牌、冒用非遗名号。</w:t>
      </w:r>
    </w:p>
    <w:p>
      <w:pPr>
        <w:spacing w:line="367" w:lineRule="auto"/>
        <w:sectPr>
          <w:footerReference w:type="default" r:id="rId9"/>
          <w:pgSz w:w="11906" w:h="16839"/>
          <w:pgMar w:top="400" w:right="1534" w:bottom="999" w:left="1596" w:header="0" w:footer="836" w:gutter="0"/>
        </w:sectPr>
        <w:rPr>
          <w:rFonts w:ascii="SimSun" w:hAnsi="SimSun" w:eastAsia="SimSun" w:cs="SimSun"/>
          <w:sz w:val="20"/>
          <w:szCs w:val="20"/>
        </w:rPr>
      </w:pPr>
    </w:p>
    <w:p>
      <w:pPr>
        <w:pStyle w:val="BodyText"/>
        <w:spacing w:line="252" w:lineRule="auto"/>
        <w:rPr/>
      </w:pPr>
      <w:r/>
    </w:p>
    <w:p>
      <w:pPr>
        <w:pStyle w:val="BodyText"/>
        <w:spacing w:line="252" w:lineRule="auto"/>
        <w:rPr/>
      </w:pPr>
      <w:r/>
    </w:p>
    <w:p>
      <w:pPr>
        <w:pStyle w:val="BodyText"/>
        <w:spacing w:line="253" w:lineRule="auto"/>
        <w:rPr/>
      </w:pPr>
      <w:r/>
    </w:p>
    <w:p>
      <w:pPr>
        <w:pStyle w:val="BodyText"/>
        <w:spacing w:line="253" w:lineRule="auto"/>
        <w:rPr/>
      </w:pPr>
      <w:r/>
    </w:p>
    <w:p>
      <w:pPr>
        <w:ind w:left="863" w:right="68" w:hanging="438"/>
        <w:spacing w:before="69" w:line="347" w:lineRule="auto"/>
        <w:rPr>
          <w:rFonts w:ascii="SimSun" w:hAnsi="SimSun" w:eastAsia="SimSun" w:cs="SimSun"/>
          <w:sz w:val="20"/>
          <w:szCs w:val="20"/>
        </w:rPr>
      </w:pPr>
      <w:r>
        <w:rPr>
          <w:rFonts w:ascii="Times New Roman" w:hAnsi="Times New Roman" w:eastAsia="Times New Roman" w:cs="Times New Roman"/>
          <w:sz w:val="24"/>
          <w:szCs w:val="24"/>
          <w:spacing w:val="11"/>
        </w:rPr>
        <w:t>3)</w:t>
      </w:r>
      <w:r>
        <w:rPr>
          <w:rFonts w:ascii="Times New Roman" w:hAnsi="Times New Roman" w:eastAsia="Times New Roman" w:cs="Times New Roman"/>
          <w:sz w:val="24"/>
          <w:szCs w:val="24"/>
          <w:spacing w:val="7"/>
        </w:rPr>
        <w:t xml:space="preserve">    </w:t>
      </w:r>
      <w:r>
        <w:rPr>
          <w:rFonts w:ascii="SimSun" w:hAnsi="SimSun" w:eastAsia="SimSun" w:cs="SimSun"/>
          <w:sz w:val="20"/>
          <w:szCs w:val="20"/>
          <w:spacing w:val="11"/>
        </w:rPr>
        <w:t>活态传承专项管理：每年制定传习计划、人才培育计划、技艺保护计划，档案定期更</w:t>
      </w:r>
      <w:r>
        <w:rPr>
          <w:rFonts w:ascii="SimSun" w:hAnsi="SimSun" w:eastAsia="SimSun" w:cs="SimSun"/>
          <w:sz w:val="20"/>
          <w:szCs w:val="20"/>
          <w:spacing w:val="8"/>
        </w:rPr>
        <w:t>新，评定机构可随时现场核查。</w:t>
      </w:r>
    </w:p>
    <w:p>
      <w:pPr>
        <w:ind w:left="4" w:firstLine="438"/>
        <w:spacing w:before="188" w:line="378" w:lineRule="auto"/>
        <w:jc w:val="both"/>
        <w:rPr>
          <w:rFonts w:ascii="SimSun" w:hAnsi="SimSun" w:eastAsia="SimSun" w:cs="SimSun"/>
          <w:sz w:val="20"/>
          <w:szCs w:val="20"/>
        </w:rPr>
      </w:pPr>
      <w:r>
        <w:rPr>
          <w:rFonts w:ascii="SimSun" w:hAnsi="SimSun" w:eastAsia="SimSun" w:cs="SimSun"/>
          <w:sz w:val="20"/>
          <w:szCs w:val="20"/>
          <w:spacing w:val="7"/>
        </w:rPr>
        <w:t>中国非物质文化遗产创新品牌及对应产品的经营者和运营者应建立完善的来源体系，保持品</w:t>
      </w:r>
      <w:r>
        <w:rPr>
          <w:rFonts w:ascii="SimSun" w:hAnsi="SimSun" w:eastAsia="SimSun" w:cs="SimSun"/>
          <w:sz w:val="20"/>
          <w:szCs w:val="20"/>
          <w:spacing w:val="4"/>
        </w:rPr>
        <w:t>牌的来源信息及相关历史传承和演进信息的准确性和完整性；同时，品牌对应产品的来源、原料、</w:t>
      </w:r>
      <w:r>
        <w:rPr>
          <w:rFonts w:ascii="SimSun" w:hAnsi="SimSun" w:eastAsia="SimSun" w:cs="SimSun"/>
          <w:sz w:val="20"/>
          <w:szCs w:val="20"/>
          <w:spacing w:val="8"/>
        </w:rPr>
        <w:t>生产、运输、销售、</w:t>
      </w:r>
      <w:r>
        <w:rPr>
          <w:rFonts w:ascii="SimSun" w:hAnsi="SimSun" w:eastAsia="SimSun" w:cs="SimSun"/>
          <w:sz w:val="20"/>
          <w:szCs w:val="20"/>
          <w:spacing w:val="54"/>
        </w:rPr>
        <w:t xml:space="preserve"> </w:t>
      </w:r>
      <w:r>
        <w:rPr>
          <w:rFonts w:ascii="SimSun" w:hAnsi="SimSun" w:eastAsia="SimSun" w:cs="SimSun"/>
          <w:sz w:val="20"/>
          <w:szCs w:val="20"/>
          <w:spacing w:val="8"/>
        </w:rPr>
        <w:t>品控管理等详细记录，确保可管控全过程各节点的来源信息。</w:t>
      </w:r>
    </w:p>
    <w:p>
      <w:pPr>
        <w:ind w:left="8"/>
        <w:spacing w:before="155" w:line="229" w:lineRule="auto"/>
        <w:outlineLvl w:val="0"/>
        <w:rPr>
          <w:rFonts w:ascii="SimHei" w:hAnsi="SimHei" w:eastAsia="SimHei" w:cs="SimHei"/>
          <w:sz w:val="20"/>
          <w:szCs w:val="20"/>
        </w:rPr>
      </w:pPr>
      <w:bookmarkStart w:name="bookmark9" w:id="12"/>
      <w:bookmarkEnd w:id="12"/>
      <w:r>
        <w:rPr>
          <w:rFonts w:ascii="Times New Roman" w:hAnsi="Times New Roman" w:eastAsia="Times New Roman" w:cs="Times New Roman"/>
          <w:sz w:val="20"/>
          <w:szCs w:val="20"/>
          <w:spacing w:val="7"/>
        </w:rPr>
        <w:t>8  </w:t>
      </w:r>
      <w:r>
        <w:rPr>
          <w:rFonts w:ascii="SimHei" w:hAnsi="SimHei" w:eastAsia="SimHei" w:cs="SimHei"/>
          <w:sz w:val="20"/>
          <w:szCs w:val="20"/>
          <w:spacing w:val="7"/>
        </w:rPr>
        <w:t>非遗创新品牌的现代管理体系</w:t>
      </w:r>
    </w:p>
    <w:p>
      <w:pPr>
        <w:pStyle w:val="BodyText"/>
        <w:spacing w:line="345" w:lineRule="auto"/>
        <w:rPr/>
      </w:pPr>
      <w:r/>
    </w:p>
    <w:p>
      <w:pPr>
        <w:ind w:left="447" w:right="68" w:hanging="427"/>
        <w:spacing w:before="65" w:line="421" w:lineRule="auto"/>
        <w:rPr>
          <w:rFonts w:ascii="SimSun" w:hAnsi="SimSun" w:eastAsia="SimSun" w:cs="SimSun"/>
          <w:sz w:val="20"/>
          <w:szCs w:val="20"/>
        </w:rPr>
      </w:pPr>
      <w:r>
        <w:rPr>
          <w:rFonts w:ascii="Times New Roman" w:hAnsi="Times New Roman" w:eastAsia="Times New Roman" w:cs="Times New Roman"/>
          <w:sz w:val="20"/>
          <w:szCs w:val="20"/>
          <w:spacing w:val="11"/>
        </w:rPr>
        <w:t>1)     </w:t>
      </w:r>
      <w:r>
        <w:rPr>
          <w:rFonts w:ascii="SimSun" w:hAnsi="SimSun" w:eastAsia="SimSun" w:cs="SimSun"/>
          <w:sz w:val="20"/>
          <w:szCs w:val="20"/>
          <w:spacing w:val="11"/>
        </w:rPr>
        <w:t>申报人应建立、实施、持续改进适配非遗保</w:t>
      </w:r>
      <w:r>
        <w:rPr>
          <w:rFonts w:ascii="SimSun" w:hAnsi="SimSun" w:eastAsia="SimSun" w:cs="SimSun"/>
          <w:sz w:val="20"/>
          <w:szCs w:val="20"/>
          <w:spacing w:val="10"/>
        </w:rPr>
        <w:t>护的现代化管理体系，包含四大模块：非遗技</w:t>
      </w:r>
      <w:r>
        <w:rPr>
          <w:rFonts w:ascii="SimSun" w:hAnsi="SimSun" w:eastAsia="SimSun" w:cs="SimSun"/>
          <w:sz w:val="20"/>
          <w:szCs w:val="20"/>
          <w:spacing w:val="9"/>
        </w:rPr>
        <w:t>艺保护模块、知识产权管控模块、创新研发模块、品牌营销传播模块。</w:t>
      </w:r>
    </w:p>
    <w:p>
      <w:pPr>
        <w:spacing w:before="181" w:line="221" w:lineRule="auto"/>
        <w:rPr>
          <w:rFonts w:ascii="SimSun" w:hAnsi="SimSun" w:eastAsia="SimSun" w:cs="SimSun"/>
          <w:sz w:val="20"/>
          <w:szCs w:val="20"/>
        </w:rPr>
      </w:pPr>
      <w:r>
        <w:rPr>
          <w:rFonts w:ascii="Times New Roman" w:hAnsi="Times New Roman" w:eastAsia="Times New Roman" w:cs="Times New Roman"/>
          <w:sz w:val="20"/>
          <w:szCs w:val="20"/>
          <w:spacing w:val="5"/>
        </w:rPr>
        <w:t>2)     </w:t>
      </w:r>
      <w:r>
        <w:rPr>
          <w:rFonts w:ascii="SimSun" w:hAnsi="SimSun" w:eastAsia="SimSun" w:cs="SimSun"/>
          <w:sz w:val="20"/>
          <w:szCs w:val="20"/>
          <w:spacing w:val="5"/>
        </w:rPr>
        <w:t>体系运行要求：</w:t>
      </w:r>
    </w:p>
    <w:p>
      <w:pPr>
        <w:pStyle w:val="BodyText"/>
        <w:spacing w:line="316" w:lineRule="auto"/>
        <w:rPr/>
      </w:pPr>
      <w:r/>
    </w:p>
    <w:p>
      <w:pPr>
        <w:ind w:left="3" w:right="68"/>
        <w:spacing w:before="65" w:line="433" w:lineRule="auto"/>
        <w:jc w:val="both"/>
        <w:rPr>
          <w:rFonts w:ascii="SimSun" w:hAnsi="SimSun" w:eastAsia="SimSun" w:cs="SimSun"/>
          <w:sz w:val="20"/>
          <w:szCs w:val="20"/>
        </w:rPr>
      </w:pPr>
      <w:r>
        <w:rPr>
          <w:rFonts w:ascii="Times New Roman" w:hAnsi="Times New Roman" w:eastAsia="Times New Roman" w:cs="Times New Roman"/>
          <w:sz w:val="20"/>
          <w:szCs w:val="20"/>
          <w:spacing w:val="10"/>
        </w:rPr>
        <w:t>a</w:t>
      </w:r>
      <w:r>
        <w:rPr>
          <w:rFonts w:ascii="SimSun" w:hAnsi="SimSun" w:eastAsia="SimSun" w:cs="SimSun"/>
          <w:sz w:val="20"/>
          <w:szCs w:val="20"/>
          <w:spacing w:val="10"/>
        </w:rPr>
        <w:t>）设置非遗保护第一责任人，划定技艺保护红线，禁止过度商业化消解非遗文化内核； </w:t>
      </w:r>
      <w:r>
        <w:rPr>
          <w:rFonts w:ascii="Times New Roman" w:hAnsi="Times New Roman" w:eastAsia="Times New Roman" w:cs="Times New Roman"/>
          <w:sz w:val="20"/>
          <w:szCs w:val="20"/>
          <w:spacing w:val="10"/>
        </w:rPr>
        <w:t>b</w:t>
      </w:r>
      <w:r>
        <w:rPr>
          <w:rFonts w:ascii="SimSun" w:hAnsi="SimSun" w:eastAsia="SimSun" w:cs="SimSun"/>
          <w:sz w:val="20"/>
          <w:szCs w:val="20"/>
          <w:spacing w:val="10"/>
        </w:rPr>
        <w:t>）设</w:t>
      </w:r>
      <w:r>
        <w:rPr>
          <w:rFonts w:ascii="SimSun" w:hAnsi="SimSun" w:eastAsia="SimSun" w:cs="SimSun"/>
          <w:sz w:val="20"/>
          <w:szCs w:val="20"/>
          <w:spacing w:val="11"/>
        </w:rPr>
        <w:t>立知识产权管理岗位，规范商标、专利、</w:t>
      </w:r>
      <w:r>
        <w:rPr>
          <w:rFonts w:ascii="Times New Roman" w:hAnsi="Times New Roman" w:eastAsia="Times New Roman" w:cs="Times New Roman"/>
          <w:sz w:val="20"/>
          <w:szCs w:val="20"/>
        </w:rPr>
        <w:t>IP</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1"/>
        </w:rPr>
        <w:t>授权使</w:t>
      </w:r>
      <w:r>
        <w:rPr>
          <w:rFonts w:ascii="SimSun" w:hAnsi="SimSun" w:eastAsia="SimSun" w:cs="SimSun"/>
          <w:sz w:val="20"/>
          <w:szCs w:val="20"/>
          <w:spacing w:val="10"/>
        </w:rPr>
        <w:t>用流程，定期开展侵权风险排查； </w:t>
      </w:r>
      <w:r>
        <w:rPr>
          <w:rFonts w:ascii="Times New Roman" w:hAnsi="Times New Roman" w:eastAsia="Times New Roman" w:cs="Times New Roman"/>
          <w:sz w:val="20"/>
          <w:szCs w:val="20"/>
          <w:spacing w:val="10"/>
        </w:rPr>
        <w:t>c</w:t>
      </w:r>
      <w:r>
        <w:rPr>
          <w:rFonts w:ascii="SimSun" w:hAnsi="SimSun" w:eastAsia="SimSun" w:cs="SimSun"/>
          <w:sz w:val="20"/>
          <w:szCs w:val="20"/>
          <w:spacing w:val="10"/>
        </w:rPr>
        <w:t>）设立</w:t>
      </w:r>
      <w:r>
        <w:rPr>
          <w:rFonts w:ascii="SimSun" w:hAnsi="SimSun" w:eastAsia="SimSun" w:cs="SimSun"/>
          <w:sz w:val="20"/>
          <w:szCs w:val="20"/>
          <w:spacing w:val="7"/>
        </w:rPr>
        <w:t>创新研发专项经费，用于非遗设计、数字化开发、工艺改良； </w:t>
      </w:r>
      <w:r>
        <w:rPr>
          <w:rFonts w:ascii="Times New Roman" w:hAnsi="Times New Roman" w:eastAsia="Times New Roman" w:cs="Times New Roman"/>
          <w:sz w:val="20"/>
          <w:szCs w:val="20"/>
          <w:spacing w:val="7"/>
        </w:rPr>
        <w:t>d</w:t>
      </w:r>
      <w:r>
        <w:rPr>
          <w:rFonts w:ascii="SimSun" w:hAnsi="SimSun" w:eastAsia="SimSun" w:cs="SimSun"/>
          <w:sz w:val="20"/>
          <w:szCs w:val="20"/>
          <w:spacing w:val="7"/>
        </w:rPr>
        <w:t>）每年开展内部自评，平衡传承</w:t>
      </w:r>
      <w:r>
        <w:rPr>
          <w:rFonts w:ascii="SimSun" w:hAnsi="SimSun" w:eastAsia="SimSun" w:cs="SimSun"/>
          <w:sz w:val="20"/>
          <w:szCs w:val="20"/>
          <w:spacing w:val="8"/>
        </w:rPr>
        <w:t>保护与市场创新发展。</w:t>
      </w:r>
    </w:p>
    <w:p>
      <w:pPr>
        <w:ind w:left="2" w:right="66" w:firstLine="1"/>
        <w:spacing w:before="154" w:line="433" w:lineRule="auto"/>
        <w:rPr>
          <w:rFonts w:ascii="SimSun" w:hAnsi="SimSun" w:eastAsia="SimSun" w:cs="SimSun"/>
          <w:sz w:val="20"/>
          <w:szCs w:val="20"/>
        </w:rPr>
      </w:pPr>
      <w:r>
        <w:rPr>
          <w:rFonts w:ascii="Times New Roman" w:hAnsi="Times New Roman" w:eastAsia="Times New Roman" w:cs="Times New Roman"/>
          <w:sz w:val="20"/>
          <w:szCs w:val="20"/>
          <w:spacing w:val="10"/>
        </w:rPr>
        <w:t>3</w:t>
      </w:r>
      <w:r>
        <w:rPr>
          <w:rFonts w:ascii="SimSun" w:hAnsi="SimSun" w:eastAsia="SimSun" w:cs="SimSun"/>
          <w:sz w:val="20"/>
          <w:szCs w:val="20"/>
          <w:spacing w:val="10"/>
        </w:rPr>
        <w:t>）叠加认证加分：取得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0"/>
        </w:rPr>
        <w:t>/T</w:t>
      </w:r>
      <w:r>
        <w:rPr>
          <w:rFonts w:ascii="Times New Roman" w:hAnsi="Times New Roman" w:eastAsia="Times New Roman" w:cs="Times New Roman"/>
          <w:sz w:val="20"/>
          <w:szCs w:val="20"/>
          <w:spacing w:val="27"/>
        </w:rPr>
        <w:t xml:space="preserve"> </w:t>
      </w:r>
      <w:r>
        <w:rPr>
          <w:rFonts w:ascii="Times New Roman" w:hAnsi="Times New Roman" w:eastAsia="Times New Roman" w:cs="Times New Roman"/>
          <w:sz w:val="20"/>
          <w:szCs w:val="20"/>
          <w:spacing w:val="10"/>
        </w:rPr>
        <w:t>19001 </w:t>
      </w:r>
      <w:r>
        <w:rPr>
          <w:rFonts w:ascii="SimSun" w:hAnsi="SimSun" w:eastAsia="SimSun" w:cs="SimSun"/>
          <w:sz w:val="20"/>
          <w:szCs w:val="20"/>
          <w:spacing w:val="10"/>
        </w:rPr>
        <w:t>质量管理、绿色产品、中国起源</w:t>
      </w:r>
      <w:r>
        <w:rPr>
          <w:rFonts w:ascii="SimSun" w:hAnsi="SimSun" w:eastAsia="SimSun" w:cs="SimSun"/>
          <w:sz w:val="20"/>
          <w:szCs w:val="20"/>
          <w:spacing w:val="9"/>
        </w:rPr>
        <w:t>地文化研究课题、中国起</w:t>
      </w:r>
      <w:r>
        <w:rPr>
          <w:rFonts w:ascii="SimSun" w:hAnsi="SimSun" w:eastAsia="SimSun" w:cs="SimSun"/>
          <w:sz w:val="20"/>
          <w:szCs w:val="20"/>
          <w:spacing w:val="8"/>
        </w:rPr>
        <w:t>源地品牌、一乡一品评审予以加分。</w:t>
      </w:r>
    </w:p>
    <w:p>
      <w:pPr>
        <w:ind w:left="7" w:right="68" w:firstLine="15"/>
        <w:spacing w:before="153" w:line="433" w:lineRule="auto"/>
        <w:jc w:val="both"/>
        <w:rPr>
          <w:rFonts w:ascii="SimSun" w:hAnsi="SimSun" w:eastAsia="SimSun" w:cs="SimSun"/>
          <w:sz w:val="20"/>
          <w:szCs w:val="20"/>
        </w:rPr>
      </w:pPr>
      <w:r>
        <w:rPr>
          <w:rFonts w:ascii="SimSun" w:hAnsi="SimSun" w:eastAsia="SimSun" w:cs="SimSun"/>
          <w:sz w:val="20"/>
          <w:szCs w:val="20"/>
          <w:spacing w:val="7"/>
        </w:rPr>
        <w:t>中国非物质文化遗产创新品牌的申报人应按本文件的要求建立、实施、保持有效的现代化管理体</w:t>
      </w:r>
      <w:r>
        <w:rPr>
          <w:rFonts w:ascii="SimSun" w:hAnsi="SimSun" w:eastAsia="SimSun" w:cs="SimSun"/>
          <w:sz w:val="20"/>
          <w:szCs w:val="20"/>
          <w:spacing w:val="9"/>
        </w:rPr>
        <w:t>系并持续改进，</w:t>
      </w:r>
      <w:r>
        <w:rPr>
          <w:rFonts w:ascii="SimSun" w:hAnsi="SimSun" w:eastAsia="SimSun" w:cs="SimSun"/>
          <w:sz w:val="20"/>
          <w:szCs w:val="20"/>
          <w:spacing w:val="46"/>
        </w:rPr>
        <w:t xml:space="preserve"> </w:t>
      </w:r>
      <w:r>
        <w:rPr>
          <w:rFonts w:ascii="SimSun" w:hAnsi="SimSun" w:eastAsia="SimSun" w:cs="SimSun"/>
          <w:sz w:val="20"/>
          <w:szCs w:val="20"/>
          <w:spacing w:val="9"/>
        </w:rPr>
        <w:t>以确保申报的品牌的真实性和传承性，能持续满足本文件要求，并不断实现更</w:t>
      </w:r>
      <w:r>
        <w:rPr>
          <w:rFonts w:ascii="SimSun" w:hAnsi="SimSun" w:eastAsia="SimSun" w:cs="SimSun"/>
          <w:sz w:val="20"/>
          <w:szCs w:val="20"/>
          <w:spacing w:val="9"/>
        </w:rPr>
        <w:t>高的品牌产品品质和管理绩效，推动中国非物质文化遗产创新品牌高质量发展。</w:t>
      </w:r>
    </w:p>
    <w:p>
      <w:pPr>
        <w:ind w:left="3"/>
        <w:spacing w:before="54" w:line="230" w:lineRule="auto"/>
        <w:outlineLvl w:val="0"/>
        <w:rPr>
          <w:rFonts w:ascii="SimHei" w:hAnsi="SimHei" w:eastAsia="SimHei" w:cs="SimHei"/>
          <w:sz w:val="20"/>
          <w:szCs w:val="20"/>
        </w:rPr>
      </w:pPr>
      <w:bookmarkStart w:name="bookmark10" w:id="13"/>
      <w:bookmarkEnd w:id="13"/>
      <w:r>
        <w:rPr>
          <w:rFonts w:ascii="Times New Roman" w:hAnsi="Times New Roman" w:eastAsia="Times New Roman" w:cs="Times New Roman"/>
          <w:sz w:val="20"/>
          <w:szCs w:val="20"/>
          <w:spacing w:val="4"/>
        </w:rPr>
        <w:t>9</w:t>
      </w:r>
      <w:r>
        <w:rPr>
          <w:rFonts w:ascii="Times New Roman" w:hAnsi="Times New Roman" w:eastAsia="Times New Roman" w:cs="Times New Roman"/>
          <w:sz w:val="20"/>
          <w:szCs w:val="20"/>
          <w:spacing w:val="8"/>
        </w:rPr>
        <w:t xml:space="preserve">  </w:t>
      </w:r>
      <w:r>
        <w:rPr>
          <w:rFonts w:ascii="SimHei" w:hAnsi="SimHei" w:eastAsia="SimHei" w:cs="SimHei"/>
          <w:sz w:val="20"/>
          <w:szCs w:val="20"/>
          <w:spacing w:val="4"/>
        </w:rPr>
        <w:t>工作程序</w:t>
      </w:r>
    </w:p>
    <w:p>
      <w:pPr>
        <w:pStyle w:val="BodyText"/>
        <w:spacing w:line="248" w:lineRule="auto"/>
        <w:rPr/>
      </w:pPr>
      <w:r/>
    </w:p>
    <w:p>
      <w:pPr>
        <w:ind w:left="3"/>
        <w:spacing w:before="65" w:line="231" w:lineRule="auto"/>
        <w:rPr>
          <w:rFonts w:ascii="SimHei" w:hAnsi="SimHei" w:eastAsia="SimHei" w:cs="SimHei"/>
          <w:sz w:val="20"/>
          <w:szCs w:val="20"/>
        </w:rPr>
      </w:pPr>
      <w:r>
        <w:rPr>
          <w:rFonts w:ascii="Times New Roman" w:hAnsi="Times New Roman" w:eastAsia="Times New Roman" w:cs="Times New Roman"/>
          <w:sz w:val="20"/>
          <w:szCs w:val="20"/>
          <w:spacing w:val="-2"/>
        </w:rPr>
        <w:t>9.</w:t>
      </w:r>
      <w:r>
        <w:rPr>
          <w:rFonts w:ascii="Times New Roman" w:hAnsi="Times New Roman" w:eastAsia="Times New Roman" w:cs="Times New Roman"/>
          <w:sz w:val="20"/>
          <w:szCs w:val="20"/>
          <w:spacing w:val="-20"/>
        </w:rPr>
        <w:t xml:space="preserve"> </w:t>
      </w:r>
      <w:r>
        <w:rPr>
          <w:rFonts w:ascii="Times New Roman" w:hAnsi="Times New Roman" w:eastAsia="Times New Roman" w:cs="Times New Roman"/>
          <w:sz w:val="20"/>
          <w:szCs w:val="20"/>
          <w:spacing w:val="-2"/>
        </w:rPr>
        <w:t>1</w:t>
      </w:r>
      <w:r>
        <w:rPr>
          <w:rFonts w:ascii="Times New Roman" w:hAnsi="Times New Roman" w:eastAsia="Times New Roman" w:cs="Times New Roman"/>
          <w:sz w:val="20"/>
          <w:szCs w:val="20"/>
          <w:spacing w:val="14"/>
          <w:w w:val="101"/>
        </w:rPr>
        <w:t xml:space="preserve">  </w:t>
      </w:r>
      <w:r>
        <w:rPr>
          <w:rFonts w:ascii="SimHei" w:hAnsi="SimHei" w:eastAsia="SimHei" w:cs="SimHei"/>
          <w:sz w:val="20"/>
          <w:szCs w:val="20"/>
          <w:spacing w:val="-2"/>
        </w:rPr>
        <w:t>申报阶段</w:t>
      </w:r>
    </w:p>
    <w:p>
      <w:pPr>
        <w:pStyle w:val="BodyText"/>
        <w:spacing w:line="248" w:lineRule="auto"/>
        <w:rPr/>
      </w:pPr>
      <w:r/>
    </w:p>
    <w:p>
      <w:pPr>
        <w:ind w:left="4" w:right="68" w:firstLine="446"/>
        <w:spacing w:before="66" w:line="378" w:lineRule="auto"/>
        <w:jc w:val="both"/>
        <w:rPr>
          <w:rFonts w:ascii="SimSun" w:hAnsi="SimSun" w:eastAsia="SimSun" w:cs="SimSun"/>
          <w:sz w:val="20"/>
          <w:szCs w:val="20"/>
        </w:rPr>
      </w:pPr>
      <w:r>
        <w:rPr>
          <w:rFonts w:ascii="SimSun" w:hAnsi="SimSun" w:eastAsia="SimSun" w:cs="SimSun"/>
          <w:sz w:val="20"/>
          <w:szCs w:val="20"/>
          <w:spacing w:val="7"/>
        </w:rPr>
        <w:t>申报人按本文件要求，填写中国非遗创新品牌申报书及非遗项目信息、知</w:t>
      </w:r>
      <w:r>
        <w:rPr>
          <w:rFonts w:ascii="SimSun" w:hAnsi="SimSun" w:eastAsia="SimSun" w:cs="SimSun"/>
          <w:sz w:val="20"/>
          <w:szCs w:val="20"/>
          <w:spacing w:val="6"/>
        </w:rPr>
        <w:t>识产权、传承、创</w:t>
      </w:r>
      <w:r>
        <w:rPr>
          <w:rFonts w:ascii="SimSun" w:hAnsi="SimSun" w:eastAsia="SimSun" w:cs="SimSun"/>
          <w:sz w:val="20"/>
          <w:szCs w:val="20"/>
          <w:spacing w:val="8"/>
        </w:rPr>
        <w:t>新成果全套佐证材料及相关辅助申报材料，提交至起源</w:t>
      </w:r>
      <w:r>
        <w:rPr>
          <w:rFonts w:ascii="SimSun" w:hAnsi="SimSun" w:eastAsia="SimSun" w:cs="SimSun"/>
          <w:sz w:val="20"/>
          <w:szCs w:val="20"/>
          <w:spacing w:val="7"/>
        </w:rPr>
        <w:t>地文化传播（北京）中心标准化管理办公</w:t>
      </w:r>
      <w:r>
        <w:rPr>
          <w:rFonts w:ascii="SimSun" w:hAnsi="SimSun" w:eastAsia="SimSun" w:cs="SimSun"/>
          <w:sz w:val="20"/>
          <w:szCs w:val="20"/>
          <w:spacing w:val="4"/>
        </w:rPr>
        <w:t>室，</w:t>
      </w:r>
      <w:r>
        <w:rPr>
          <w:rFonts w:ascii="SimSun" w:hAnsi="SimSun" w:eastAsia="SimSun" w:cs="SimSun"/>
          <w:sz w:val="20"/>
          <w:szCs w:val="20"/>
          <w:spacing w:val="-50"/>
        </w:rPr>
        <w:t xml:space="preserve"> </w:t>
      </w:r>
      <w:r>
        <w:rPr>
          <w:rFonts w:ascii="SimSun" w:hAnsi="SimSun" w:eastAsia="SimSun" w:cs="SimSun"/>
          <w:sz w:val="20"/>
          <w:szCs w:val="20"/>
          <w:spacing w:val="4"/>
        </w:rPr>
        <w:t>申报书模板详细见附录</w:t>
      </w:r>
      <w:r>
        <w:rPr>
          <w:rFonts w:ascii="SimSun" w:hAnsi="SimSun" w:eastAsia="SimSun" w:cs="SimSun"/>
          <w:sz w:val="20"/>
          <w:szCs w:val="20"/>
          <w:spacing w:val="-40"/>
        </w:rPr>
        <w:t xml:space="preserve"> </w:t>
      </w:r>
      <w:r>
        <w:rPr>
          <w:rFonts w:ascii="Times New Roman" w:hAnsi="Times New Roman" w:eastAsia="Times New Roman" w:cs="Times New Roman"/>
          <w:sz w:val="20"/>
          <w:szCs w:val="20"/>
          <w:spacing w:val="4"/>
        </w:rPr>
        <w:t>C</w:t>
      </w:r>
      <w:r>
        <w:rPr>
          <w:rFonts w:ascii="SimSun" w:hAnsi="SimSun" w:eastAsia="SimSun" w:cs="SimSun"/>
          <w:sz w:val="20"/>
          <w:szCs w:val="20"/>
          <w:spacing w:val="4"/>
        </w:rPr>
        <w:t>。</w:t>
      </w:r>
    </w:p>
    <w:p>
      <w:pPr>
        <w:ind w:left="3"/>
        <w:spacing w:before="152" w:line="231" w:lineRule="auto"/>
        <w:rPr>
          <w:rFonts w:ascii="SimHei" w:hAnsi="SimHei" w:eastAsia="SimHei" w:cs="SimHei"/>
          <w:sz w:val="20"/>
          <w:szCs w:val="20"/>
        </w:rPr>
      </w:pPr>
      <w:r>
        <w:rPr>
          <w:rFonts w:ascii="Times New Roman" w:hAnsi="Times New Roman" w:eastAsia="Times New Roman" w:cs="Times New Roman"/>
          <w:sz w:val="20"/>
          <w:szCs w:val="20"/>
          <w:spacing w:val="5"/>
        </w:rPr>
        <w:t>9.2  </w:t>
      </w:r>
      <w:r>
        <w:rPr>
          <w:rFonts w:ascii="SimHei" w:hAnsi="SimHei" w:eastAsia="SimHei" w:cs="SimHei"/>
          <w:sz w:val="20"/>
          <w:szCs w:val="20"/>
          <w:spacing w:val="5"/>
        </w:rPr>
        <w:t>材料审核</w:t>
      </w:r>
    </w:p>
    <w:p>
      <w:pPr>
        <w:pStyle w:val="BodyText"/>
        <w:spacing w:line="248" w:lineRule="auto"/>
        <w:rPr/>
      </w:pPr>
      <w:r/>
    </w:p>
    <w:p>
      <w:pPr>
        <w:ind w:left="2" w:right="68" w:firstLine="422"/>
        <w:spacing w:before="66" w:line="378"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起源地文化传播（北京）中心标准化管理办公室组织专家或委托第三方服务机构对申报材料</w:t>
      </w:r>
      <w:r>
        <w:rPr>
          <w:rFonts w:ascii="SimSun" w:hAnsi="SimSun" w:eastAsia="SimSun" w:cs="SimSun"/>
          <w:sz w:val="20"/>
          <w:szCs w:val="20"/>
          <w:spacing w:val="6"/>
        </w:rPr>
        <w:t>进行文审。</w:t>
      </w:r>
    </w:p>
    <w:p>
      <w:pPr>
        <w:ind w:left="3"/>
        <w:spacing w:before="152" w:line="230" w:lineRule="auto"/>
        <w:rPr>
          <w:rFonts w:ascii="SimHei" w:hAnsi="SimHei" w:eastAsia="SimHei" w:cs="SimHei"/>
          <w:sz w:val="20"/>
          <w:szCs w:val="20"/>
        </w:rPr>
      </w:pPr>
      <w:r>
        <w:rPr>
          <w:rFonts w:ascii="Times New Roman" w:hAnsi="Times New Roman" w:eastAsia="Times New Roman" w:cs="Times New Roman"/>
          <w:sz w:val="20"/>
          <w:szCs w:val="20"/>
          <w:spacing w:val="5"/>
        </w:rPr>
        <w:t>9.3  </w:t>
      </w:r>
      <w:r>
        <w:rPr>
          <w:rFonts w:ascii="SimHei" w:hAnsi="SimHei" w:eastAsia="SimHei" w:cs="SimHei"/>
          <w:sz w:val="20"/>
          <w:szCs w:val="20"/>
          <w:spacing w:val="5"/>
        </w:rPr>
        <w:t>现场调研</w:t>
      </w:r>
    </w:p>
    <w:p>
      <w:pPr>
        <w:spacing w:line="230" w:lineRule="auto"/>
        <w:sectPr>
          <w:footerReference w:type="default" r:id="rId10"/>
          <w:pgSz w:w="11906" w:h="16839"/>
          <w:pgMar w:top="400" w:right="1519" w:bottom="1001" w:left="1593" w:header="0" w:footer="836" w:gutter="0"/>
        </w:sectPr>
        <w:rPr>
          <w:rFonts w:ascii="SimHei" w:hAnsi="SimHei" w:eastAsia="SimHei" w:cs="SimHei"/>
          <w:sz w:val="20"/>
          <w:szCs w:val="20"/>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6" w:right="2" w:firstLine="422"/>
        <w:spacing w:before="65" w:line="378" w:lineRule="auto"/>
        <w:rPr>
          <w:rFonts w:ascii="SimSun" w:hAnsi="SimSun" w:eastAsia="SimSun" w:cs="SimSun"/>
          <w:sz w:val="20"/>
          <w:szCs w:val="20"/>
        </w:rPr>
      </w:pPr>
      <w:r>
        <w:rPr>
          <w:rFonts w:ascii="SimSun" w:hAnsi="SimSun" w:eastAsia="SimSun" w:cs="SimSun"/>
          <w:sz w:val="20"/>
          <w:szCs w:val="20"/>
          <w:spacing w:val="7"/>
        </w:rPr>
        <w:t>起源地文化传播（北京）中心标准化管理办公室组织专家代表或委托第三方服务机构赴现场</w:t>
      </w:r>
      <w:r>
        <w:rPr>
          <w:rFonts w:ascii="SimSun" w:hAnsi="SimSun" w:eastAsia="SimSun" w:cs="SimSun"/>
          <w:sz w:val="20"/>
          <w:szCs w:val="20"/>
          <w:spacing w:val="6"/>
        </w:rPr>
        <w:t>进行调研。</w:t>
      </w:r>
    </w:p>
    <w:p>
      <w:pPr>
        <w:ind w:left="8" w:right="2" w:firstLine="420"/>
        <w:spacing w:before="153" w:line="378" w:lineRule="auto"/>
        <w:rPr>
          <w:rFonts w:ascii="SimSun" w:hAnsi="SimSun" w:eastAsia="SimSun" w:cs="SimSun"/>
          <w:sz w:val="20"/>
          <w:szCs w:val="20"/>
        </w:rPr>
      </w:pPr>
      <w:r>
        <w:rPr>
          <w:rFonts w:ascii="SimSun" w:hAnsi="SimSun" w:eastAsia="SimSun" w:cs="SimSun"/>
          <w:sz w:val="20"/>
          <w:szCs w:val="20"/>
          <w:spacing w:val="7"/>
        </w:rPr>
        <w:t>专家团队赴经营、传习场地现场核验非遗技艺实操、传承活动、知识产权实物、创新产品落</w:t>
      </w:r>
      <w:r>
        <w:rPr>
          <w:rFonts w:ascii="SimSun" w:hAnsi="SimSun" w:eastAsia="SimSun" w:cs="SimSun"/>
          <w:sz w:val="20"/>
          <w:szCs w:val="20"/>
          <w:spacing w:val="9"/>
        </w:rPr>
        <w:t>地情况。采取现场或线上方式召开评定工作会。</w:t>
      </w:r>
    </w:p>
    <w:p>
      <w:pPr>
        <w:ind w:left="8"/>
        <w:spacing w:before="153" w:line="230" w:lineRule="auto"/>
        <w:rPr>
          <w:rFonts w:ascii="SimHei" w:hAnsi="SimHei" w:eastAsia="SimHei" w:cs="SimHei"/>
          <w:sz w:val="20"/>
          <w:szCs w:val="20"/>
        </w:rPr>
      </w:pPr>
      <w:r>
        <w:rPr>
          <w:rFonts w:ascii="Times New Roman" w:hAnsi="Times New Roman" w:eastAsia="Times New Roman" w:cs="Times New Roman"/>
          <w:sz w:val="20"/>
          <w:szCs w:val="20"/>
          <w:spacing w:val="5"/>
        </w:rPr>
        <w:t>9.4  </w:t>
      </w:r>
      <w:r>
        <w:rPr>
          <w:rFonts w:ascii="SimHei" w:hAnsi="SimHei" w:eastAsia="SimHei" w:cs="SimHei"/>
          <w:sz w:val="20"/>
          <w:szCs w:val="20"/>
          <w:spacing w:val="5"/>
        </w:rPr>
        <w:t>结果公示</w:t>
      </w:r>
    </w:p>
    <w:p>
      <w:pPr>
        <w:pStyle w:val="BodyText"/>
        <w:spacing w:line="248" w:lineRule="auto"/>
        <w:rPr/>
      </w:pPr>
      <w:r/>
    </w:p>
    <w:p>
      <w:pPr>
        <w:ind w:left="434"/>
        <w:spacing w:before="65" w:line="227" w:lineRule="auto"/>
        <w:rPr>
          <w:rFonts w:ascii="SimSun" w:hAnsi="SimSun" w:eastAsia="SimSun" w:cs="SimSun"/>
          <w:sz w:val="20"/>
          <w:szCs w:val="20"/>
        </w:rPr>
      </w:pPr>
      <w:r>
        <w:rPr>
          <w:rFonts w:ascii="SimSun" w:hAnsi="SimSun" w:eastAsia="SimSun" w:cs="SimSun"/>
          <w:sz w:val="20"/>
          <w:szCs w:val="20"/>
          <w:spacing w:val="7"/>
        </w:rPr>
        <w:t>公示结果在中国起源地官方网站或者新闻媒体进行公示，公示期为</w:t>
      </w:r>
      <w:r>
        <w:rPr>
          <w:rFonts w:ascii="SimSun" w:hAnsi="SimSun" w:eastAsia="SimSun" w:cs="SimSun"/>
          <w:sz w:val="20"/>
          <w:szCs w:val="20"/>
          <w:spacing w:val="-29"/>
        </w:rPr>
        <w:t xml:space="preserve"> </w:t>
      </w:r>
      <w:r>
        <w:rPr>
          <w:rFonts w:ascii="Times New Roman" w:hAnsi="Times New Roman" w:eastAsia="Times New Roman" w:cs="Times New Roman"/>
          <w:sz w:val="20"/>
          <w:szCs w:val="20"/>
          <w:spacing w:val="7"/>
        </w:rPr>
        <w:t>7</w:t>
      </w:r>
      <w:r>
        <w:rPr>
          <w:rFonts w:ascii="Times New Roman" w:hAnsi="Times New Roman" w:eastAsia="Times New Roman" w:cs="Times New Roman"/>
          <w:sz w:val="20"/>
          <w:szCs w:val="20"/>
          <w:spacing w:val="48"/>
        </w:rPr>
        <w:t xml:space="preserve"> </w:t>
      </w:r>
      <w:r>
        <w:rPr>
          <w:rFonts w:ascii="SimSun" w:hAnsi="SimSun" w:eastAsia="SimSun" w:cs="SimSun"/>
          <w:sz w:val="20"/>
          <w:szCs w:val="20"/>
          <w:spacing w:val="7"/>
        </w:rPr>
        <w:t>日。</w:t>
      </w:r>
    </w:p>
    <w:p>
      <w:pPr>
        <w:pStyle w:val="BodyText"/>
        <w:spacing w:line="254" w:lineRule="auto"/>
        <w:rPr/>
      </w:pPr>
      <w:r/>
    </w:p>
    <w:p>
      <w:pPr>
        <w:ind w:left="8"/>
        <w:spacing w:before="65" w:line="232" w:lineRule="auto"/>
        <w:rPr>
          <w:rFonts w:ascii="SimHei" w:hAnsi="SimHei" w:eastAsia="SimHei" w:cs="SimHei"/>
          <w:sz w:val="20"/>
          <w:szCs w:val="20"/>
        </w:rPr>
      </w:pPr>
      <w:r>
        <w:rPr>
          <w:rFonts w:ascii="Times New Roman" w:hAnsi="Times New Roman" w:eastAsia="Times New Roman" w:cs="Times New Roman"/>
          <w:sz w:val="20"/>
          <w:szCs w:val="20"/>
          <w:spacing w:val="2"/>
        </w:rPr>
        <w:t>9.5</w:t>
      </w:r>
      <w:r>
        <w:rPr>
          <w:rFonts w:ascii="Times New Roman" w:hAnsi="Times New Roman" w:eastAsia="Times New Roman" w:cs="Times New Roman"/>
          <w:sz w:val="20"/>
          <w:szCs w:val="20"/>
          <w:spacing w:val="12"/>
          <w:w w:val="101"/>
        </w:rPr>
        <w:t xml:space="preserve"> </w:t>
      </w:r>
      <w:r>
        <w:rPr>
          <w:rFonts w:ascii="SimHei" w:hAnsi="SimHei" w:eastAsia="SimHei" w:cs="SimHei"/>
          <w:sz w:val="20"/>
          <w:szCs w:val="20"/>
          <w:spacing w:val="2"/>
        </w:rPr>
        <w:t>公布</w:t>
      </w:r>
    </w:p>
    <w:p>
      <w:pPr>
        <w:pStyle w:val="BodyText"/>
        <w:spacing w:line="245" w:lineRule="auto"/>
        <w:rPr/>
      </w:pPr>
      <w:r/>
    </w:p>
    <w:p>
      <w:pPr>
        <w:ind w:left="10" w:right="2" w:firstLine="423"/>
        <w:spacing w:before="66" w:line="378" w:lineRule="auto"/>
        <w:rPr>
          <w:rFonts w:ascii="SimSun" w:hAnsi="SimSun" w:eastAsia="SimSun" w:cs="SimSun"/>
          <w:sz w:val="20"/>
          <w:szCs w:val="20"/>
        </w:rPr>
      </w:pPr>
      <w:r>
        <w:rPr>
          <w:rFonts w:ascii="SimSun" w:hAnsi="SimSun" w:eastAsia="SimSun" w:cs="SimSun"/>
          <w:sz w:val="20"/>
          <w:szCs w:val="20"/>
          <w:spacing w:val="7"/>
        </w:rPr>
        <w:t>公示期满，申报人经起源地文化传播（北京）中心标准化管理办公室审核同意，确定为批准</w:t>
      </w:r>
      <w:r>
        <w:rPr>
          <w:rFonts w:ascii="SimSun" w:hAnsi="SimSun" w:eastAsia="SimSun" w:cs="SimSun"/>
          <w:sz w:val="20"/>
          <w:szCs w:val="20"/>
          <w:spacing w:val="9"/>
        </w:rPr>
        <w:t>名单， 并通过中国起源地官方网站或者新闻媒体向社会公布。</w:t>
      </w:r>
    </w:p>
    <w:p>
      <w:pPr>
        <w:ind w:left="8"/>
        <w:spacing w:before="154" w:line="231" w:lineRule="auto"/>
        <w:rPr>
          <w:rFonts w:ascii="SimHei" w:hAnsi="SimHei" w:eastAsia="SimHei" w:cs="SimHei"/>
          <w:sz w:val="20"/>
          <w:szCs w:val="20"/>
        </w:rPr>
      </w:pPr>
      <w:r>
        <w:rPr>
          <w:rFonts w:ascii="Times New Roman" w:hAnsi="Times New Roman" w:eastAsia="Times New Roman" w:cs="Times New Roman"/>
          <w:sz w:val="20"/>
          <w:szCs w:val="20"/>
          <w:spacing w:val="5"/>
        </w:rPr>
        <w:t>9.6  </w:t>
      </w:r>
      <w:r>
        <w:rPr>
          <w:rFonts w:ascii="SimHei" w:hAnsi="SimHei" w:eastAsia="SimHei" w:cs="SimHei"/>
          <w:sz w:val="20"/>
          <w:szCs w:val="20"/>
          <w:spacing w:val="5"/>
        </w:rPr>
        <w:t>入库登记</w:t>
      </w:r>
    </w:p>
    <w:p>
      <w:pPr>
        <w:pStyle w:val="BodyText"/>
        <w:spacing w:line="249" w:lineRule="auto"/>
        <w:rPr/>
      </w:pPr>
      <w:r/>
    </w:p>
    <w:p>
      <w:pPr>
        <w:ind w:left="11" w:firstLine="443"/>
        <w:spacing w:before="66" w:line="378" w:lineRule="auto"/>
        <w:rPr>
          <w:rFonts w:ascii="SimSun" w:hAnsi="SimSun" w:eastAsia="SimSun" w:cs="SimSun"/>
          <w:sz w:val="20"/>
          <w:szCs w:val="20"/>
        </w:rPr>
      </w:pPr>
      <w:r>
        <w:rPr>
          <w:rFonts w:ascii="SimSun" w:hAnsi="SimSun" w:eastAsia="SimSun" w:cs="SimSun"/>
          <w:sz w:val="20"/>
          <w:szCs w:val="20"/>
          <w:spacing w:val="7"/>
        </w:rPr>
        <w:t>申报资料经过编辑、审核、登记后，入中国非物质文化遗产创新品牌数据库，入</w:t>
      </w:r>
      <w:r>
        <w:rPr>
          <w:rFonts w:ascii="SimSun" w:hAnsi="SimSun" w:eastAsia="SimSun" w:cs="SimSun"/>
          <w:sz w:val="20"/>
          <w:szCs w:val="20"/>
          <w:spacing w:val="6"/>
        </w:rPr>
        <w:t>库信息可进</w:t>
      </w:r>
      <w:r>
        <w:rPr>
          <w:rFonts w:ascii="SimSun" w:hAnsi="SimSun" w:eastAsia="SimSun" w:cs="SimSun"/>
          <w:sz w:val="20"/>
          <w:szCs w:val="20"/>
          <w:spacing w:val="4"/>
        </w:rPr>
        <w:t>行查询。</w:t>
      </w:r>
    </w:p>
    <w:p>
      <w:pPr>
        <w:ind w:left="8"/>
        <w:spacing w:before="152" w:line="229" w:lineRule="auto"/>
        <w:rPr>
          <w:rFonts w:ascii="SimHei" w:hAnsi="SimHei" w:eastAsia="SimHei" w:cs="SimHei"/>
          <w:sz w:val="20"/>
          <w:szCs w:val="20"/>
        </w:rPr>
      </w:pPr>
      <w:r>
        <w:rPr>
          <w:rFonts w:ascii="Times New Roman" w:hAnsi="Times New Roman" w:eastAsia="Times New Roman" w:cs="Times New Roman"/>
          <w:sz w:val="20"/>
          <w:szCs w:val="20"/>
          <w:spacing w:val="5"/>
        </w:rPr>
        <w:t>9.7 </w:t>
      </w:r>
      <w:r>
        <w:rPr>
          <w:rFonts w:ascii="SimHei" w:hAnsi="SimHei" w:eastAsia="SimHei" w:cs="SimHei"/>
          <w:sz w:val="20"/>
          <w:szCs w:val="20"/>
          <w:spacing w:val="5"/>
        </w:rPr>
        <w:t>证书颁发</w:t>
      </w:r>
    </w:p>
    <w:p>
      <w:pPr>
        <w:pStyle w:val="BodyText"/>
        <w:spacing w:line="248" w:lineRule="auto"/>
        <w:rPr/>
      </w:pPr>
      <w:r/>
    </w:p>
    <w:p>
      <w:pPr>
        <w:ind w:left="10" w:right="4" w:firstLine="416"/>
        <w:spacing w:before="66" w:line="378" w:lineRule="auto"/>
        <w:rPr>
          <w:rFonts w:ascii="SimSun" w:hAnsi="SimSun" w:eastAsia="SimSun" w:cs="SimSun"/>
          <w:sz w:val="20"/>
          <w:szCs w:val="20"/>
        </w:rPr>
      </w:pPr>
      <w:r>
        <w:rPr>
          <w:rFonts w:ascii="SimSun" w:hAnsi="SimSun" w:eastAsia="SimSun" w:cs="SimSun"/>
          <w:sz w:val="20"/>
          <w:szCs w:val="20"/>
          <w:spacing w:val="7"/>
        </w:rPr>
        <w:t>对评定为中国非物质文化遗产创新品牌的申报人，由起源地文化传播（北京）中心标准化管</w:t>
      </w:r>
      <w:r>
        <w:rPr>
          <w:rFonts w:ascii="SimSun" w:hAnsi="SimSun" w:eastAsia="SimSun" w:cs="SimSun"/>
          <w:sz w:val="20"/>
          <w:szCs w:val="20"/>
          <w:spacing w:val="8"/>
        </w:rPr>
        <w:t>理办公室颁发证书。同步授予 </w:t>
      </w:r>
      <w:r>
        <w:rPr>
          <w:rFonts w:ascii="Times New Roman" w:hAnsi="Times New Roman" w:eastAsia="Times New Roman" w:cs="Times New Roman"/>
          <w:sz w:val="20"/>
          <w:szCs w:val="20"/>
          <w:spacing w:val="8"/>
        </w:rPr>
        <w:t>“</w:t>
      </w:r>
      <w:r>
        <w:rPr>
          <w:rFonts w:ascii="Times New Roman" w:hAnsi="Times New Roman" w:eastAsia="Times New Roman" w:cs="Times New Roman"/>
          <w:sz w:val="20"/>
          <w:szCs w:val="20"/>
          <w:spacing w:val="-20"/>
        </w:rPr>
        <w:t xml:space="preserve"> </w:t>
      </w:r>
      <w:r>
        <w:rPr>
          <w:rFonts w:ascii="SimSun" w:hAnsi="SimSun" w:eastAsia="SimSun" w:cs="SimSun"/>
          <w:sz w:val="20"/>
          <w:szCs w:val="20"/>
          <w:spacing w:val="8"/>
        </w:rPr>
        <w:t>中国非物质文化遗产创新品牌标志</w:t>
      </w:r>
      <w:r>
        <w:rPr>
          <w:rFonts w:ascii="Times New Roman" w:hAnsi="Times New Roman" w:eastAsia="Times New Roman" w:cs="Times New Roman"/>
          <w:sz w:val="20"/>
          <w:szCs w:val="20"/>
          <w:spacing w:val="8"/>
        </w:rPr>
        <w:t>”</w:t>
      </w:r>
      <w:r>
        <w:rPr>
          <w:rFonts w:ascii="SimSun" w:hAnsi="SimSun" w:eastAsia="SimSun" w:cs="SimSun"/>
          <w:sz w:val="20"/>
          <w:szCs w:val="20"/>
          <w:spacing w:val="8"/>
        </w:rPr>
        <w:t>使用授权。</w:t>
      </w:r>
    </w:p>
    <w:p>
      <w:pPr>
        <w:ind w:left="8"/>
        <w:spacing w:before="153" w:line="230" w:lineRule="auto"/>
        <w:rPr>
          <w:rFonts w:ascii="SimHei" w:hAnsi="SimHei" w:eastAsia="SimHei" w:cs="SimHei"/>
          <w:sz w:val="20"/>
          <w:szCs w:val="20"/>
        </w:rPr>
      </w:pPr>
      <w:r>
        <w:rPr>
          <w:rFonts w:ascii="Times New Roman" w:hAnsi="Times New Roman" w:eastAsia="Times New Roman" w:cs="Times New Roman"/>
          <w:sz w:val="20"/>
          <w:szCs w:val="20"/>
          <w:spacing w:val="1"/>
        </w:rPr>
        <w:t>9.8</w:t>
      </w:r>
      <w:r>
        <w:rPr>
          <w:rFonts w:ascii="Times New Roman" w:hAnsi="Times New Roman" w:eastAsia="Times New Roman" w:cs="Times New Roman"/>
          <w:sz w:val="20"/>
          <w:szCs w:val="20"/>
          <w:spacing w:val="10"/>
        </w:rPr>
        <w:t xml:space="preserve">  </w:t>
      </w:r>
      <w:r>
        <w:rPr>
          <w:rFonts w:ascii="SimHei" w:hAnsi="SimHei" w:eastAsia="SimHei" w:cs="SimHei"/>
          <w:sz w:val="20"/>
          <w:szCs w:val="20"/>
          <w:spacing w:val="1"/>
        </w:rPr>
        <w:t>变更</w:t>
      </w:r>
    </w:p>
    <w:p>
      <w:pPr>
        <w:pStyle w:val="BodyText"/>
        <w:spacing w:line="251" w:lineRule="auto"/>
        <w:rPr/>
      </w:pPr>
      <w:r/>
    </w:p>
    <w:p>
      <w:pPr>
        <w:ind w:left="7" w:right="2" w:firstLine="421"/>
        <w:spacing w:before="66" w:line="377" w:lineRule="auto"/>
        <w:jc w:val="both"/>
        <w:rPr>
          <w:rFonts w:ascii="SimSun" w:hAnsi="SimSun" w:eastAsia="SimSun" w:cs="SimSun"/>
          <w:sz w:val="20"/>
          <w:szCs w:val="20"/>
        </w:rPr>
      </w:pPr>
      <w:r>
        <w:rPr>
          <w:rFonts w:ascii="SimSun" w:hAnsi="SimSun" w:eastAsia="SimSun" w:cs="SimSun"/>
          <w:sz w:val="20"/>
          <w:szCs w:val="20"/>
          <w:spacing w:val="7"/>
        </w:rPr>
        <w:t>若已申报的品牌，在品牌主体名称、非遗项目、核心知识产权等方面有任何变化的，应向起</w:t>
      </w:r>
      <w:r>
        <w:rPr>
          <w:rFonts w:ascii="SimSun" w:hAnsi="SimSun" w:eastAsia="SimSun" w:cs="SimSun"/>
          <w:sz w:val="20"/>
          <w:szCs w:val="20"/>
          <w:spacing w:val="8"/>
        </w:rPr>
        <w:t>源地文化传播（北京）中心标准化管理办公室申请办理变更</w:t>
      </w:r>
      <w:r>
        <w:rPr>
          <w:rFonts w:ascii="SimSun" w:hAnsi="SimSun" w:eastAsia="SimSun" w:cs="SimSun"/>
          <w:sz w:val="20"/>
          <w:szCs w:val="20"/>
          <w:spacing w:val="7"/>
        </w:rPr>
        <w:t>手续，申请领取新的中国非物质文化</w:t>
      </w:r>
      <w:r>
        <w:rPr>
          <w:rFonts w:ascii="SimSun" w:hAnsi="SimSun" w:eastAsia="SimSun" w:cs="SimSun"/>
          <w:sz w:val="20"/>
          <w:szCs w:val="20"/>
          <w:spacing w:val="8"/>
        </w:rPr>
        <w:t>遗产创新品牌证书。无重大变化无需复审。</w:t>
      </w:r>
    </w:p>
    <w:p>
      <w:pPr>
        <w:ind w:left="24"/>
        <w:spacing w:before="154" w:line="229" w:lineRule="auto"/>
        <w:outlineLvl w:val="0"/>
        <w:rPr>
          <w:rFonts w:ascii="SimHei" w:hAnsi="SimHei" w:eastAsia="SimHei" w:cs="SimHei"/>
          <w:sz w:val="20"/>
          <w:szCs w:val="20"/>
        </w:rPr>
      </w:pPr>
      <w:bookmarkStart w:name="bookmark11" w:id="14"/>
      <w:bookmarkEnd w:id="14"/>
      <w:r>
        <w:rPr>
          <w:rFonts w:ascii="Times New Roman" w:hAnsi="Times New Roman" w:eastAsia="Times New Roman" w:cs="Times New Roman"/>
          <w:sz w:val="20"/>
          <w:szCs w:val="20"/>
          <w:spacing w:val="2"/>
        </w:rPr>
        <w:t>10</w:t>
      </w:r>
      <w:r>
        <w:rPr>
          <w:rFonts w:ascii="Times New Roman" w:hAnsi="Times New Roman" w:eastAsia="Times New Roman" w:cs="Times New Roman"/>
          <w:sz w:val="20"/>
          <w:szCs w:val="20"/>
          <w:spacing w:val="7"/>
        </w:rPr>
        <w:t xml:space="preserve">  </w:t>
      </w:r>
      <w:r>
        <w:rPr>
          <w:rFonts w:ascii="SimHei" w:hAnsi="SimHei" w:eastAsia="SimHei" w:cs="SimHei"/>
          <w:sz w:val="20"/>
          <w:szCs w:val="20"/>
          <w:spacing w:val="2"/>
        </w:rPr>
        <w:t>评定方法</w:t>
      </w:r>
    </w:p>
    <w:p>
      <w:pPr>
        <w:pStyle w:val="BodyText"/>
        <w:spacing w:line="250" w:lineRule="auto"/>
        <w:rPr/>
      </w:pPr>
      <w:r/>
    </w:p>
    <w:p>
      <w:pPr>
        <w:ind w:left="9" w:right="2" w:firstLine="428"/>
        <w:spacing w:before="66" w:line="378" w:lineRule="auto"/>
        <w:rPr>
          <w:rFonts w:ascii="SimSun" w:hAnsi="SimSun" w:eastAsia="SimSun" w:cs="SimSun"/>
          <w:sz w:val="20"/>
          <w:szCs w:val="20"/>
        </w:rPr>
      </w:pPr>
      <w:r>
        <w:rPr>
          <w:rFonts w:ascii="SimSun" w:hAnsi="SimSun" w:eastAsia="SimSun" w:cs="SimSun"/>
          <w:sz w:val="20"/>
          <w:szCs w:val="20"/>
          <w:spacing w:val="7"/>
        </w:rPr>
        <w:t>资料审查、田野实地调研、现场技艺核验、文献检索、知识产权确权核查、中国起源地智库</w:t>
      </w:r>
      <w:r>
        <w:rPr>
          <w:rFonts w:ascii="SimSun" w:hAnsi="SimSun" w:eastAsia="SimSun" w:cs="SimSun"/>
          <w:sz w:val="20"/>
          <w:szCs w:val="20"/>
          <w:spacing w:val="9"/>
        </w:rPr>
        <w:t>专家综合评定、创新产品检验检测， 科学、合理实施评定工作。</w:t>
      </w:r>
    </w:p>
    <w:p>
      <w:pPr>
        <w:ind w:left="6" w:right="2" w:firstLine="420"/>
        <w:spacing w:before="153" w:line="378" w:lineRule="auto"/>
        <w:rPr>
          <w:rFonts w:ascii="SimSun" w:hAnsi="SimSun" w:eastAsia="SimSun" w:cs="SimSun"/>
          <w:sz w:val="20"/>
          <w:szCs w:val="20"/>
        </w:rPr>
      </w:pPr>
      <w:r>
        <w:rPr>
          <w:rFonts w:ascii="SimSun" w:hAnsi="SimSun" w:eastAsia="SimSun" w:cs="SimSun"/>
          <w:sz w:val="20"/>
          <w:szCs w:val="20"/>
          <w:spacing w:val="9"/>
        </w:rPr>
        <w:t>评定模式：符合性百分制评分，先核验非遗</w:t>
      </w:r>
      <w:r>
        <w:rPr>
          <w:rFonts w:ascii="Times New Roman" w:hAnsi="Times New Roman" w:eastAsia="Times New Roman" w:cs="Times New Roman"/>
          <w:sz w:val="20"/>
          <w:szCs w:val="20"/>
          <w:spacing w:val="9"/>
        </w:rPr>
        <w:t>+</w:t>
      </w:r>
      <w:r>
        <w:rPr>
          <w:rFonts w:ascii="SimSun" w:hAnsi="SimSun" w:eastAsia="SimSun" w:cs="SimSun"/>
          <w:sz w:val="20"/>
          <w:szCs w:val="20"/>
          <w:spacing w:val="9"/>
        </w:rPr>
        <w:t>知识产权两大核</w:t>
      </w:r>
      <w:r>
        <w:rPr>
          <w:rFonts w:ascii="SimSun" w:hAnsi="SimSun" w:eastAsia="SimSun" w:cs="SimSun"/>
          <w:sz w:val="20"/>
          <w:szCs w:val="20"/>
          <w:spacing w:val="8"/>
        </w:rPr>
        <w:t>心合规门槛，</w:t>
      </w:r>
      <w:r>
        <w:rPr>
          <w:rFonts w:ascii="SimSun" w:hAnsi="SimSun" w:eastAsia="SimSun" w:cs="SimSun"/>
          <w:sz w:val="20"/>
          <w:szCs w:val="20"/>
          <w:spacing w:val="-60"/>
        </w:rPr>
        <w:t xml:space="preserve"> </w:t>
      </w:r>
      <w:r>
        <w:rPr>
          <w:rFonts w:ascii="SimSun" w:hAnsi="SimSun" w:eastAsia="SimSun" w:cs="SimSun"/>
          <w:sz w:val="20"/>
          <w:szCs w:val="20"/>
          <w:spacing w:val="8"/>
        </w:rPr>
        <w:t>门槛通过后方可</w:t>
      </w:r>
      <w:r>
        <w:rPr>
          <w:rFonts w:ascii="SimSun" w:hAnsi="SimSun" w:eastAsia="SimSun" w:cs="SimSun"/>
          <w:sz w:val="20"/>
          <w:szCs w:val="20"/>
          <w:spacing w:val="8"/>
        </w:rPr>
        <w:t>进入分项打分；对照附录 </w:t>
      </w:r>
      <w:r>
        <w:rPr>
          <w:rFonts w:ascii="Times New Roman" w:hAnsi="Times New Roman" w:eastAsia="Times New Roman" w:cs="Times New Roman"/>
          <w:sz w:val="20"/>
          <w:szCs w:val="20"/>
          <w:spacing w:val="8"/>
        </w:rPr>
        <w:t>B  </w:t>
      </w:r>
      <w:r>
        <w:rPr>
          <w:rFonts w:ascii="SimSun" w:hAnsi="SimSun" w:eastAsia="SimSun" w:cs="SimSun"/>
          <w:sz w:val="20"/>
          <w:szCs w:val="20"/>
          <w:spacing w:val="8"/>
        </w:rPr>
        <w:t>指标细则计分，依据附录 </w:t>
      </w:r>
      <w:r>
        <w:rPr>
          <w:rFonts w:ascii="Times New Roman" w:hAnsi="Times New Roman" w:eastAsia="Times New Roman" w:cs="Times New Roman"/>
          <w:sz w:val="20"/>
          <w:szCs w:val="20"/>
          <w:spacing w:val="8"/>
        </w:rPr>
        <w:t>D  </w:t>
      </w:r>
      <w:r>
        <w:rPr>
          <w:rFonts w:ascii="SimSun" w:hAnsi="SimSun" w:eastAsia="SimSun" w:cs="SimSun"/>
          <w:sz w:val="20"/>
          <w:szCs w:val="20"/>
          <w:spacing w:val="8"/>
        </w:rPr>
        <w:t>划分评定等级。</w:t>
      </w:r>
    </w:p>
    <w:p>
      <w:pPr>
        <w:ind w:left="24"/>
        <w:spacing w:before="154" w:line="230" w:lineRule="auto"/>
        <w:outlineLvl w:val="0"/>
        <w:rPr>
          <w:rFonts w:ascii="SimHei" w:hAnsi="SimHei" w:eastAsia="SimHei" w:cs="SimHei"/>
          <w:sz w:val="20"/>
          <w:szCs w:val="20"/>
        </w:rPr>
      </w:pPr>
      <w:bookmarkStart w:name="bookmark12" w:id="15"/>
      <w:bookmarkEnd w:id="15"/>
      <w:r>
        <w:rPr>
          <w:rFonts w:ascii="Times New Roman" w:hAnsi="Times New Roman" w:eastAsia="Times New Roman" w:cs="Times New Roman"/>
          <w:sz w:val="20"/>
          <w:szCs w:val="20"/>
          <w:spacing w:val="4"/>
        </w:rPr>
        <w:t>11  </w:t>
      </w:r>
      <w:r>
        <w:rPr>
          <w:rFonts w:ascii="SimHei" w:hAnsi="SimHei" w:eastAsia="SimHei" w:cs="SimHei"/>
          <w:sz w:val="20"/>
          <w:szCs w:val="20"/>
          <w:spacing w:val="4"/>
        </w:rPr>
        <w:t>标志和使用</w:t>
      </w:r>
    </w:p>
    <w:p>
      <w:pPr>
        <w:pStyle w:val="BodyText"/>
        <w:spacing w:line="248" w:lineRule="auto"/>
        <w:rPr/>
      </w:pPr>
      <w:r/>
    </w:p>
    <w:p>
      <w:pPr>
        <w:ind w:left="8" w:right="2" w:hanging="1"/>
        <w:spacing w:before="65" w:line="380" w:lineRule="auto"/>
        <w:rPr>
          <w:rFonts w:ascii="SimSun" w:hAnsi="SimSun" w:eastAsia="SimSun" w:cs="SimSun"/>
          <w:sz w:val="20"/>
          <w:szCs w:val="20"/>
        </w:rPr>
      </w:pPr>
      <w:r>
        <w:rPr>
          <w:rFonts w:ascii="Times New Roman" w:hAnsi="Times New Roman" w:eastAsia="Times New Roman" w:cs="Times New Roman"/>
          <w:sz w:val="20"/>
          <w:szCs w:val="20"/>
          <w:spacing w:val="7"/>
        </w:rPr>
        <w:t>a</w:t>
      </w:r>
      <w:r>
        <w:rPr>
          <w:rFonts w:ascii="SimSun" w:hAnsi="SimSun" w:eastAsia="SimSun" w:cs="SimSun"/>
          <w:sz w:val="20"/>
          <w:szCs w:val="20"/>
          <w:spacing w:val="7"/>
        </w:rPr>
        <w:t>）“</w:t>
      </w:r>
      <w:r>
        <w:rPr>
          <w:rFonts w:ascii="SimSun" w:hAnsi="SimSun" w:eastAsia="SimSun" w:cs="SimSun"/>
          <w:sz w:val="20"/>
          <w:szCs w:val="20"/>
          <w:spacing w:val="-71"/>
        </w:rPr>
        <w:t xml:space="preserve"> </w:t>
      </w:r>
      <w:r>
        <w:rPr>
          <w:rFonts w:ascii="SimSun" w:hAnsi="SimSun" w:eastAsia="SimSun" w:cs="SimSun"/>
          <w:sz w:val="20"/>
          <w:szCs w:val="20"/>
          <w:spacing w:val="7"/>
        </w:rPr>
        <w:t>中国非物质文化遗产创新品牌标志</w:t>
      </w:r>
      <w:r>
        <w:rPr>
          <w:rFonts w:ascii="SimSun" w:hAnsi="SimSun" w:eastAsia="SimSun" w:cs="SimSun"/>
          <w:sz w:val="20"/>
          <w:szCs w:val="20"/>
          <w:spacing w:val="-70"/>
        </w:rPr>
        <w:t xml:space="preserve"> </w:t>
      </w:r>
      <w:r>
        <w:rPr>
          <w:rFonts w:ascii="SimSun" w:hAnsi="SimSun" w:eastAsia="SimSun" w:cs="SimSun"/>
          <w:sz w:val="20"/>
          <w:szCs w:val="20"/>
          <w:spacing w:val="7"/>
        </w:rPr>
        <w:t>”</w:t>
      </w:r>
      <w:r>
        <w:rPr>
          <w:rFonts w:ascii="SimSun" w:hAnsi="SimSun" w:eastAsia="SimSun" w:cs="SimSun"/>
          <w:sz w:val="20"/>
          <w:szCs w:val="20"/>
          <w:spacing w:val="-22"/>
        </w:rPr>
        <w:t xml:space="preserve"> </w:t>
      </w:r>
      <w:r>
        <w:rPr>
          <w:rFonts w:ascii="SimSun" w:hAnsi="SimSun" w:eastAsia="SimSun" w:cs="SimSun"/>
          <w:sz w:val="20"/>
          <w:szCs w:val="20"/>
          <w:spacing w:val="7"/>
        </w:rPr>
        <w:t>为中国非遗创新品牌专属标志，标志已向中国版权保</w:t>
      </w:r>
      <w:r>
        <w:rPr>
          <w:rFonts w:ascii="SimSun" w:hAnsi="SimSun" w:eastAsia="SimSun" w:cs="SimSun"/>
          <w:sz w:val="20"/>
          <w:szCs w:val="20"/>
          <w:spacing w:val="7"/>
        </w:rPr>
        <w:t>护中心申请版权保护，标志图案见图</w:t>
      </w:r>
      <w:r>
        <w:rPr>
          <w:rFonts w:ascii="SimSun" w:hAnsi="SimSun" w:eastAsia="SimSun" w:cs="SimSun"/>
          <w:sz w:val="20"/>
          <w:szCs w:val="20"/>
          <w:spacing w:val="-22"/>
        </w:rPr>
        <w:t xml:space="preserve"> </w:t>
      </w:r>
      <w:r>
        <w:rPr>
          <w:rFonts w:ascii="Times New Roman" w:hAnsi="Times New Roman" w:eastAsia="Times New Roman" w:cs="Times New Roman"/>
          <w:sz w:val="20"/>
          <w:szCs w:val="20"/>
          <w:spacing w:val="7"/>
        </w:rPr>
        <w:t>1</w:t>
      </w:r>
      <w:r>
        <w:rPr>
          <w:rFonts w:ascii="SimSun" w:hAnsi="SimSun" w:eastAsia="SimSun" w:cs="SimSun"/>
          <w:sz w:val="20"/>
          <w:szCs w:val="20"/>
          <w:spacing w:val="7"/>
        </w:rPr>
        <w:t>；</w:t>
      </w:r>
    </w:p>
    <w:p>
      <w:pPr>
        <w:spacing w:before="151" w:line="227" w:lineRule="auto"/>
        <w:rPr>
          <w:rFonts w:ascii="SimSun" w:hAnsi="SimSun" w:eastAsia="SimSun" w:cs="SimSun"/>
          <w:sz w:val="20"/>
          <w:szCs w:val="20"/>
        </w:rPr>
      </w:pPr>
      <w:r>
        <w:rPr>
          <w:rFonts w:ascii="Times New Roman" w:hAnsi="Times New Roman" w:eastAsia="Times New Roman" w:cs="Times New Roman"/>
          <w:sz w:val="20"/>
          <w:szCs w:val="20"/>
          <w:spacing w:val="9"/>
        </w:rPr>
        <w:t>b</w:t>
      </w:r>
      <w:r>
        <w:rPr>
          <w:rFonts w:ascii="SimSun" w:hAnsi="SimSun" w:eastAsia="SimSun" w:cs="SimSun"/>
          <w:sz w:val="20"/>
          <w:szCs w:val="20"/>
          <w:spacing w:val="9"/>
        </w:rPr>
        <w:t>）通过评定的中国非物质文化遗产创新品牌可使用本标志</w:t>
      </w:r>
    </w:p>
    <w:p>
      <w:pPr>
        <w:spacing w:line="227" w:lineRule="auto"/>
        <w:sectPr>
          <w:footerReference w:type="default" r:id="rId11"/>
          <w:pgSz w:w="11906" w:h="16839"/>
          <w:pgMar w:top="400" w:right="1585" w:bottom="1001" w:left="1588" w:header="0" w:footer="836" w:gutter="0"/>
        </w:sectPr>
        <w:rPr>
          <w:rFonts w:ascii="SimSun" w:hAnsi="SimSun" w:eastAsia="SimSun" w:cs="SimSun"/>
          <w:sz w:val="20"/>
          <w:szCs w:val="20"/>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spacing w:before="65" w:line="226" w:lineRule="auto"/>
        <w:rPr>
          <w:rFonts w:ascii="SimSun" w:hAnsi="SimSun" w:eastAsia="SimSun" w:cs="SimSun"/>
          <w:sz w:val="20"/>
          <w:szCs w:val="20"/>
        </w:rPr>
      </w:pPr>
      <w:r>
        <w:rPr>
          <w:rFonts w:ascii="Times New Roman" w:hAnsi="Times New Roman" w:eastAsia="Times New Roman" w:cs="Times New Roman"/>
          <w:sz w:val="20"/>
          <w:szCs w:val="20"/>
          <w:spacing w:val="9"/>
        </w:rPr>
        <w:t>c</w:t>
      </w:r>
      <w:r>
        <w:rPr>
          <w:rFonts w:ascii="SimSun" w:hAnsi="SimSun" w:eastAsia="SimSun" w:cs="SimSun"/>
          <w:sz w:val="20"/>
          <w:szCs w:val="20"/>
          <w:spacing w:val="9"/>
        </w:rPr>
        <w:t>）授权品牌可将标志用于广告宣传、产品包装、宣传物料、线上店铺、展会展示等场景；</w:t>
      </w:r>
    </w:p>
    <w:p>
      <w:pPr>
        <w:pStyle w:val="BodyText"/>
        <w:spacing w:line="253" w:lineRule="auto"/>
        <w:rPr/>
      </w:pPr>
      <w:r/>
    </w:p>
    <w:p>
      <w:pPr>
        <w:ind w:left="1" w:hanging="1"/>
        <w:spacing w:before="65" w:line="378" w:lineRule="auto"/>
        <w:rPr>
          <w:rFonts w:ascii="SimSun" w:hAnsi="SimSun" w:eastAsia="SimSun" w:cs="SimSun"/>
          <w:sz w:val="20"/>
          <w:szCs w:val="20"/>
        </w:rPr>
      </w:pPr>
      <w:r>
        <w:rPr>
          <w:rFonts w:ascii="Times New Roman" w:hAnsi="Times New Roman" w:eastAsia="Times New Roman" w:cs="Times New Roman"/>
          <w:sz w:val="20"/>
          <w:szCs w:val="20"/>
          <w:spacing w:val="10"/>
        </w:rPr>
        <w:t>d</w:t>
      </w:r>
      <w:r>
        <w:rPr>
          <w:rFonts w:ascii="SimSun" w:hAnsi="SimSun" w:eastAsia="SimSun" w:cs="SimSun"/>
          <w:sz w:val="20"/>
          <w:szCs w:val="20"/>
          <w:spacing w:val="10"/>
        </w:rPr>
        <w:t>）对于未经评定、授权擅自使用或伪造本标志的，或者使用与本标志相近、易产生误解的</w:t>
      </w:r>
      <w:r>
        <w:rPr>
          <w:rFonts w:ascii="SimSun" w:hAnsi="SimSun" w:eastAsia="SimSun" w:cs="SimSun"/>
          <w:sz w:val="20"/>
          <w:szCs w:val="20"/>
          <w:spacing w:val="9"/>
        </w:rPr>
        <w:t>名称</w:t>
      </w:r>
      <w:r>
        <w:rPr>
          <w:rFonts w:ascii="SimSun" w:hAnsi="SimSun" w:eastAsia="SimSun" w:cs="SimSun"/>
          <w:sz w:val="20"/>
          <w:szCs w:val="20"/>
          <w:spacing w:val="8"/>
        </w:rPr>
        <w:t>或标志及可能误导消费者的文字或图案标志，使消费</w:t>
      </w:r>
      <w:r>
        <w:rPr>
          <w:rFonts w:ascii="SimSun" w:hAnsi="SimSun" w:eastAsia="SimSun" w:cs="SimSun"/>
          <w:sz w:val="20"/>
          <w:szCs w:val="20"/>
          <w:spacing w:val="7"/>
        </w:rPr>
        <w:t>者将该产品误认为本标志的行为，将依据法</w:t>
      </w:r>
      <w:r>
        <w:rPr>
          <w:rFonts w:ascii="SimSun" w:hAnsi="SimSun" w:eastAsia="SimSun" w:cs="SimSun"/>
          <w:sz w:val="20"/>
          <w:szCs w:val="20"/>
          <w:spacing w:val="7"/>
        </w:rPr>
        <w:t>律法规追究责任。</w:t>
      </w:r>
    </w:p>
    <w:p>
      <w:pPr>
        <w:spacing w:before="152" w:line="227" w:lineRule="auto"/>
        <w:jc w:val="right"/>
        <w:rPr>
          <w:rFonts w:ascii="SimSun" w:hAnsi="SimSun" w:eastAsia="SimSun" w:cs="SimSun"/>
          <w:sz w:val="20"/>
          <w:szCs w:val="20"/>
        </w:rPr>
      </w:pPr>
      <w:r>
        <w:rPr>
          <w:rFonts w:ascii="Times New Roman" w:hAnsi="Times New Roman" w:eastAsia="Times New Roman" w:cs="Times New Roman"/>
          <w:sz w:val="20"/>
          <w:szCs w:val="20"/>
          <w:spacing w:val="9"/>
        </w:rPr>
        <w:t>e</w:t>
      </w:r>
      <w:r>
        <w:rPr>
          <w:rFonts w:ascii="SimSun" w:hAnsi="SimSun" w:eastAsia="SimSun" w:cs="SimSun"/>
          <w:sz w:val="20"/>
          <w:szCs w:val="20"/>
          <w:spacing w:val="9"/>
        </w:rPr>
        <w:t>）配套附录</w:t>
      </w:r>
      <w:r>
        <w:rPr>
          <w:rFonts w:ascii="SimSun" w:hAnsi="SimSun" w:eastAsia="SimSun" w:cs="SimSun"/>
          <w:sz w:val="20"/>
          <w:szCs w:val="20"/>
          <w:spacing w:val="-43"/>
        </w:rPr>
        <w:t xml:space="preserve"> </w:t>
      </w:r>
      <w:r>
        <w:rPr>
          <w:rFonts w:ascii="Times New Roman" w:hAnsi="Times New Roman" w:eastAsia="Times New Roman" w:cs="Times New Roman"/>
          <w:sz w:val="20"/>
          <w:szCs w:val="20"/>
          <w:spacing w:val="9"/>
        </w:rPr>
        <w:t>A </w:t>
      </w:r>
      <w:r>
        <w:rPr>
          <w:rFonts w:ascii="SimSun" w:hAnsi="SimSun" w:eastAsia="SimSun" w:cs="SimSun"/>
          <w:sz w:val="20"/>
          <w:szCs w:val="20"/>
          <w:spacing w:val="9"/>
        </w:rPr>
        <w:t>非遗来源标签，完整标注非</w:t>
      </w:r>
      <w:r>
        <w:rPr>
          <w:rFonts w:ascii="SimSun" w:hAnsi="SimSun" w:eastAsia="SimSun" w:cs="SimSun"/>
          <w:sz w:val="20"/>
          <w:szCs w:val="20"/>
          <w:spacing w:val="8"/>
        </w:rPr>
        <w:t>遗项目、知识产权编号、传承主体、入库登记信息。</w:t>
      </w:r>
    </w:p>
    <w:p>
      <w:pPr>
        <w:pStyle w:val="BodyText"/>
        <w:spacing w:line="251" w:lineRule="auto"/>
        <w:rPr/>
      </w:pPr>
      <w:r/>
    </w:p>
    <w:p>
      <w:pPr>
        <w:ind w:left="1"/>
        <w:spacing w:before="65" w:line="227" w:lineRule="auto"/>
        <w:rPr>
          <w:rFonts w:ascii="SimSun" w:hAnsi="SimSun" w:eastAsia="SimSun" w:cs="SimSun"/>
          <w:sz w:val="20"/>
          <w:szCs w:val="20"/>
        </w:rPr>
      </w:pPr>
      <w:r>
        <w:rPr>
          <w:rFonts w:ascii="Times New Roman" w:hAnsi="Times New Roman" w:eastAsia="Times New Roman" w:cs="Times New Roman"/>
          <w:sz w:val="20"/>
          <w:szCs w:val="20"/>
          <w:spacing w:val="8"/>
        </w:rPr>
        <w:t>f</w:t>
      </w:r>
      <w:r>
        <w:rPr>
          <w:rFonts w:ascii="SimSun" w:hAnsi="SimSun" w:eastAsia="SimSun" w:cs="SimSun"/>
          <w:sz w:val="20"/>
          <w:szCs w:val="20"/>
          <w:spacing w:val="8"/>
        </w:rPr>
        <w:t>）每三年进行一次复审，对违规项目实行退出机制。</w:t>
      </w:r>
    </w:p>
    <w:p>
      <w:pPr>
        <w:pStyle w:val="BodyText"/>
        <w:spacing w:line="286" w:lineRule="auto"/>
        <w:rPr/>
      </w:pPr>
      <w:r/>
    </w:p>
    <w:p>
      <w:pPr>
        <w:ind w:firstLine="1140"/>
        <w:spacing w:line="5496" w:lineRule="exact"/>
        <w:rPr/>
      </w:pPr>
      <w:r>
        <w:rPr>
          <w:position w:val="-109"/>
        </w:rPr>
        <w:drawing>
          <wp:inline distT="0" distB="0" distL="0" distR="0">
            <wp:extent cx="4084320" cy="3489960"/>
            <wp:effectExtent l="0" t="0" r="0" b="0"/>
            <wp:docPr id="6" name="IM 6"/>
            <wp:cNvGraphicFramePr/>
            <a:graphic>
              <a:graphicData uri="http://schemas.openxmlformats.org/drawingml/2006/picture">
                <pic:pic>
                  <pic:nvPicPr>
                    <pic:cNvPr id="6" name="IM 6"/>
                    <pic:cNvPicPr/>
                  </pic:nvPicPr>
                  <pic:blipFill>
                    <a:blip r:embed="rId13"/>
                    <a:stretch>
                      <a:fillRect/>
                    </a:stretch>
                  </pic:blipFill>
                  <pic:spPr>
                    <a:xfrm rot="0">
                      <a:off x="0" y="0"/>
                      <a:ext cx="4084320" cy="3489960"/>
                    </a:xfrm>
                    <a:prstGeom prst="rect">
                      <a:avLst/>
                    </a:prstGeom>
                  </pic:spPr>
                </pic:pic>
              </a:graphicData>
            </a:graphic>
          </wp:inline>
        </w:drawing>
      </w:r>
    </w:p>
    <w:p>
      <w:pPr>
        <w:pStyle w:val="BodyText"/>
        <w:spacing w:line="411" w:lineRule="auto"/>
        <w:rPr/>
      </w:pPr>
      <w:r/>
    </w:p>
    <w:p>
      <w:pPr>
        <w:ind w:left="2522"/>
        <w:spacing w:before="65" w:line="228" w:lineRule="auto"/>
        <w:rPr>
          <w:rFonts w:ascii="SimSun" w:hAnsi="SimSun" w:eastAsia="SimSun" w:cs="SimSun"/>
          <w:sz w:val="20"/>
          <w:szCs w:val="20"/>
        </w:rPr>
      </w:pPr>
      <w:r>
        <w:rPr>
          <w:rFonts w:ascii="SimSun" w:hAnsi="SimSun" w:eastAsia="SimSun" w:cs="SimSun"/>
          <w:sz w:val="20"/>
          <w:szCs w:val="20"/>
          <w:spacing w:val="6"/>
        </w:rPr>
        <w:t>图</w:t>
      </w:r>
      <w:r>
        <w:rPr>
          <w:rFonts w:ascii="SimSun" w:hAnsi="SimSun" w:eastAsia="SimSun" w:cs="SimSun"/>
          <w:sz w:val="20"/>
          <w:szCs w:val="20"/>
          <w:spacing w:val="-13"/>
        </w:rPr>
        <w:t xml:space="preserve"> </w:t>
      </w:r>
      <w:r>
        <w:rPr>
          <w:rFonts w:ascii="SimSun" w:hAnsi="SimSun" w:eastAsia="SimSun" w:cs="SimSun"/>
          <w:sz w:val="20"/>
          <w:szCs w:val="20"/>
          <w:spacing w:val="6"/>
        </w:rPr>
        <w:t>1：中国非物质文化遗产创新品牌标志</w:t>
      </w:r>
    </w:p>
    <w:p>
      <w:pPr>
        <w:pStyle w:val="BodyText"/>
        <w:spacing w:line="401" w:lineRule="auto"/>
        <w:rPr/>
      </w:pPr>
      <w:r/>
    </w:p>
    <w:p>
      <w:pPr>
        <w:ind w:firstLine="2344"/>
        <w:spacing w:line="44" w:lineRule="exact"/>
        <w:rPr/>
      </w:pPr>
      <w:r>
        <w:rPr/>
        <w:drawing>
          <wp:inline distT="0" distB="0" distL="0" distR="0">
            <wp:extent cx="2057501" cy="27940"/>
            <wp:effectExtent l="0" t="0" r="0" b="0"/>
            <wp:docPr id="8" name="IM 8"/>
            <wp:cNvGraphicFramePr/>
            <a:graphic>
              <a:graphicData uri="http://schemas.openxmlformats.org/drawingml/2006/picture">
                <pic:pic>
                  <pic:nvPicPr>
                    <pic:cNvPr id="8" name="IM 8"/>
                    <pic:cNvPicPr/>
                  </pic:nvPicPr>
                  <pic:blipFill>
                    <a:blip r:embed="rId14"/>
                    <a:stretch>
                      <a:fillRect/>
                    </a:stretch>
                  </pic:blipFill>
                  <pic:spPr>
                    <a:xfrm rot="0">
                      <a:off x="0" y="0"/>
                      <a:ext cx="2057501" cy="27940"/>
                    </a:xfrm>
                    <a:prstGeom prst="rect">
                      <a:avLst/>
                    </a:prstGeom>
                  </pic:spPr>
                </pic:pic>
              </a:graphicData>
            </a:graphic>
          </wp:inline>
        </w:drawing>
      </w:r>
    </w:p>
    <w:p>
      <w:pPr>
        <w:spacing w:line="44" w:lineRule="exact"/>
        <w:sectPr>
          <w:footerReference w:type="default" r:id="rId12"/>
          <w:pgSz w:w="11906" w:h="16839"/>
          <w:pgMar w:top="400" w:right="1590" w:bottom="1001" w:left="1595" w:header="0" w:footer="836" w:gutter="0"/>
        </w:sectPr>
        <w:rPr/>
      </w:pPr>
    </w:p>
    <w:p>
      <w:pPr>
        <w:pStyle w:val="BodyText"/>
        <w:spacing w:line="272" w:lineRule="auto"/>
        <w:rPr/>
      </w:pPr>
      <w:r/>
    </w:p>
    <w:p>
      <w:pPr>
        <w:ind w:firstLine="11"/>
        <w:spacing w:line="10320" w:lineRule="exact"/>
        <w:rPr/>
      </w:pPr>
      <w:r>
        <w:rPr>
          <w:position w:val="-206"/>
        </w:rPr>
        <w:drawing>
          <wp:inline distT="0" distB="0" distL="0" distR="0">
            <wp:extent cx="5273040" cy="6553200"/>
            <wp:effectExtent l="0" t="0" r="0" b="0"/>
            <wp:docPr id="10" name="IM 10"/>
            <wp:cNvGraphicFramePr/>
            <a:graphic>
              <a:graphicData uri="http://schemas.openxmlformats.org/drawingml/2006/picture">
                <pic:pic>
                  <pic:nvPicPr>
                    <pic:cNvPr id="10" name="IM 10"/>
                    <pic:cNvPicPr/>
                  </pic:nvPicPr>
                  <pic:blipFill>
                    <a:blip r:embed="rId17"/>
                    <a:stretch>
                      <a:fillRect/>
                    </a:stretch>
                  </pic:blipFill>
                  <pic:spPr>
                    <a:xfrm rot="0">
                      <a:off x="0" y="0"/>
                      <a:ext cx="5273040" cy="6553200"/>
                    </a:xfrm>
                    <a:prstGeom prst="rect">
                      <a:avLst/>
                    </a:prstGeom>
                  </pic:spPr>
                </pic:pic>
              </a:graphicData>
            </a:graphic>
          </wp:inline>
        </w:drawing>
      </w:r>
    </w:p>
    <w:p>
      <w:pPr>
        <w:spacing w:line="10320" w:lineRule="exact"/>
        <w:sectPr>
          <w:headerReference w:type="default" r:id="rId15"/>
          <w:footerReference w:type="default" r:id="rId16"/>
          <w:pgSz w:w="11906" w:h="16839"/>
          <w:pgMar w:top="1737" w:right="1785" w:bottom="1000" w:left="1785" w:header="1415" w:footer="835" w:gutter="0"/>
        </w:sectPr>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2694"/>
        <w:spacing w:before="65" w:line="230" w:lineRule="auto"/>
        <w:outlineLvl w:val="0"/>
        <w:rPr>
          <w:rFonts w:ascii="SimHei" w:hAnsi="SimHei" w:eastAsia="SimHei" w:cs="SimHei"/>
          <w:sz w:val="20"/>
          <w:szCs w:val="20"/>
        </w:rPr>
      </w:pPr>
      <w:bookmarkStart w:name="bookmark14" w:id="17"/>
      <w:bookmarkEnd w:id="17"/>
      <w:r>
        <w:rPr>
          <w:rFonts w:ascii="SimHei" w:hAnsi="SimHei" w:eastAsia="SimHei" w:cs="SimHei"/>
          <w:sz w:val="20"/>
          <w:szCs w:val="20"/>
          <w:spacing w:val="8"/>
        </w:rPr>
        <w:t>附录</w:t>
      </w:r>
      <w:r>
        <w:rPr>
          <w:rFonts w:ascii="SimHei" w:hAnsi="SimHei" w:eastAsia="SimHei" w:cs="SimHei"/>
          <w:sz w:val="20"/>
          <w:szCs w:val="20"/>
          <w:spacing w:val="8"/>
        </w:rPr>
        <w:t xml:space="preserve"> </w:t>
      </w:r>
      <w:r>
        <w:rPr>
          <w:rFonts w:ascii="Times New Roman" w:hAnsi="Times New Roman" w:eastAsia="Times New Roman" w:cs="Times New Roman"/>
          <w:sz w:val="20"/>
          <w:szCs w:val="20"/>
          <w:spacing w:val="8"/>
        </w:rPr>
        <w:t>B</w:t>
      </w:r>
      <w:r>
        <w:rPr>
          <w:rFonts w:ascii="SimHei" w:hAnsi="SimHei" w:eastAsia="SimHei" w:cs="SimHei"/>
          <w:sz w:val="20"/>
          <w:szCs w:val="20"/>
          <w:spacing w:val="8"/>
        </w:rPr>
        <w:t>（规范性）评定指标及评分规则</w:t>
      </w:r>
    </w:p>
    <w:p>
      <w:pPr>
        <w:pStyle w:val="BodyText"/>
        <w:spacing w:line="416" w:lineRule="auto"/>
        <w:rPr/>
      </w:pPr>
      <w:r/>
    </w:p>
    <w:p>
      <w:pPr>
        <w:ind w:left="129"/>
        <w:spacing w:before="78" w:line="219" w:lineRule="auto"/>
        <w:rPr>
          <w:rFonts w:ascii="SimSun" w:hAnsi="SimSun" w:eastAsia="SimSun" w:cs="SimSun"/>
          <w:sz w:val="24"/>
          <w:szCs w:val="24"/>
        </w:rPr>
      </w:pPr>
      <w:r>
        <w:rPr>
          <w:rFonts w:ascii="SimSun" w:hAnsi="SimSun" w:eastAsia="SimSun" w:cs="SimSun"/>
          <w:sz w:val="24"/>
          <w:szCs w:val="24"/>
        </w:rPr>
        <w:t>总分 100 分，前置合规项一票否决（硬性</w:t>
      </w:r>
      <w:r>
        <w:rPr>
          <w:rFonts w:ascii="SimSun" w:hAnsi="SimSun" w:eastAsia="SimSun" w:cs="SimSun"/>
          <w:sz w:val="24"/>
          <w:szCs w:val="24"/>
          <w:spacing w:val="-1"/>
        </w:rPr>
        <w:t>门槛：县级以上非遗+完整知识产权）</w:t>
      </w:r>
    </w:p>
    <w:p>
      <w:pPr>
        <w:spacing w:before="60"/>
        <w:rPr/>
      </w:pPr>
      <w:r/>
    </w:p>
    <w:tbl>
      <w:tblPr>
        <w:tblStyle w:val="TableNormal"/>
        <w:tblW w:w="895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92"/>
        <w:gridCol w:w="1056"/>
        <w:gridCol w:w="1259"/>
        <w:gridCol w:w="5243"/>
      </w:tblGrid>
      <w:tr>
        <w:trPr>
          <w:trHeight w:val="321" w:hRule="atLeast"/>
        </w:trPr>
        <w:tc>
          <w:tcPr>
            <w:tcW w:w="1392" w:type="dxa"/>
            <w:vAlign w:val="top"/>
          </w:tcPr>
          <w:p>
            <w:pPr>
              <w:pStyle w:val="TableText"/>
              <w:ind w:left="344"/>
              <w:spacing w:before="71" w:line="220" w:lineRule="auto"/>
              <w:rPr/>
            </w:pPr>
            <w:r>
              <w:rPr>
                <w:b/>
                <w:bCs/>
                <w:spacing w:val="-4"/>
              </w:rPr>
              <w:t>一级指标</w:t>
            </w:r>
          </w:p>
        </w:tc>
        <w:tc>
          <w:tcPr>
            <w:tcW w:w="1056" w:type="dxa"/>
            <w:vAlign w:val="top"/>
          </w:tcPr>
          <w:p>
            <w:pPr>
              <w:pStyle w:val="TableText"/>
              <w:ind w:left="352"/>
              <w:spacing w:before="71" w:line="219" w:lineRule="auto"/>
              <w:rPr/>
            </w:pPr>
            <w:r>
              <w:rPr>
                <w:b/>
                <w:bCs/>
                <w:spacing w:val="-7"/>
              </w:rPr>
              <w:t>分值</w:t>
            </w:r>
          </w:p>
        </w:tc>
        <w:tc>
          <w:tcPr>
            <w:tcW w:w="1259" w:type="dxa"/>
            <w:vAlign w:val="top"/>
          </w:tcPr>
          <w:p>
            <w:pPr>
              <w:pStyle w:val="TableText"/>
              <w:ind w:left="276"/>
              <w:spacing w:before="71" w:line="220" w:lineRule="auto"/>
              <w:rPr/>
            </w:pPr>
            <w:r>
              <w:rPr>
                <w:b/>
                <w:bCs/>
                <w:spacing w:val="-4"/>
              </w:rPr>
              <w:t>二级指标</w:t>
            </w:r>
          </w:p>
        </w:tc>
        <w:tc>
          <w:tcPr>
            <w:tcW w:w="5243" w:type="dxa"/>
            <w:vAlign w:val="top"/>
          </w:tcPr>
          <w:p>
            <w:pPr>
              <w:pStyle w:val="TableText"/>
              <w:ind w:left="2263"/>
              <w:spacing w:before="71" w:line="220" w:lineRule="auto"/>
              <w:rPr/>
            </w:pPr>
            <w:r>
              <w:rPr>
                <w:b/>
                <w:bCs/>
                <w:spacing w:val="-3"/>
              </w:rPr>
              <w:t>评分细则</w:t>
            </w:r>
          </w:p>
        </w:tc>
      </w:tr>
      <w:tr>
        <w:trPr>
          <w:trHeight w:val="4683" w:hRule="atLeast"/>
        </w:trPr>
        <w:tc>
          <w:tcPr>
            <w:tcW w:w="1392" w:type="dxa"/>
            <w:vAlign w:val="top"/>
          </w:tcPr>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250"/>
              <w:spacing w:before="58" w:line="221" w:lineRule="auto"/>
              <w:rPr/>
            </w:pPr>
            <w:r>
              <w:rPr>
                <w:spacing w:val="-2"/>
              </w:rPr>
              <w:t>合规性要求</w:t>
            </w:r>
          </w:p>
        </w:tc>
        <w:tc>
          <w:tcPr>
            <w:tcW w:w="1056" w:type="dxa"/>
            <w:vAlign w:val="top"/>
          </w:tcPr>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355" w:right="347" w:hanging="2"/>
              <w:spacing w:before="59" w:line="322" w:lineRule="auto"/>
              <w:rPr/>
            </w:pPr>
            <w:r>
              <w:rPr>
                <w:spacing w:val="-5"/>
              </w:rPr>
              <w:t>一票</w:t>
            </w:r>
            <w:r>
              <w:rPr>
                <w:spacing w:val="-7"/>
              </w:rPr>
              <w:t>否决</w:t>
            </w:r>
          </w:p>
        </w:tc>
        <w:tc>
          <w:tcPr>
            <w:tcW w:w="1259" w:type="dxa"/>
            <w:vAlign w:val="top"/>
          </w:tcPr>
          <w:p>
            <w:pPr>
              <w:rPr>
                <w:rFonts w:ascii="Arial"/>
                <w:sz w:val="21"/>
              </w:rPr>
            </w:pPr>
            <w:r/>
          </w:p>
        </w:tc>
        <w:tc>
          <w:tcPr>
            <w:tcW w:w="5243" w:type="dxa"/>
            <w:vAlign w:val="top"/>
          </w:tcPr>
          <w:p>
            <w:pPr>
              <w:pStyle w:val="TableText"/>
              <w:ind w:left="124" w:right="107" w:firstLine="10"/>
              <w:spacing w:before="66" w:line="320" w:lineRule="auto"/>
              <w:rPr/>
            </w:pPr>
            <w:r>
              <w:rPr>
                <w:spacing w:val="-2"/>
              </w:rPr>
              <w:t>申报人在申报中国起源地品牌时，必须满足以下要求。包括但不</w:t>
            </w:r>
            <w:r>
              <w:rPr>
                <w:spacing w:val="-7"/>
              </w:rPr>
              <w:t>限于：</w:t>
            </w:r>
          </w:p>
          <w:p>
            <w:pPr>
              <w:pStyle w:val="TableText"/>
              <w:ind w:left="114" w:right="107" w:firstLine="10"/>
              <w:spacing w:before="1" w:line="319" w:lineRule="auto"/>
              <w:rPr/>
            </w:pPr>
            <w:r>
              <w:rPr>
                <w:spacing w:val="-1"/>
              </w:rPr>
              <w:t>区级（含）及以上人民政府</w:t>
            </w:r>
            <w:r>
              <w:rPr>
                <w:color w:val="333333"/>
                <w:spacing w:val="-1"/>
              </w:rPr>
              <w:t>批准、公布的非物</w:t>
            </w:r>
            <w:r>
              <w:rPr>
                <w:color w:val="333333"/>
                <w:spacing w:val="-2"/>
              </w:rPr>
              <w:t>质文化遗产代表性</w:t>
            </w:r>
            <w:r>
              <w:rPr>
                <w:color w:val="333333"/>
                <w:spacing w:val="-4"/>
              </w:rPr>
              <w:t>项目</w:t>
            </w:r>
            <w:r>
              <w:rPr>
                <w:spacing w:val="-4"/>
              </w:rPr>
              <w:t>；</w:t>
            </w:r>
          </w:p>
          <w:p>
            <w:pPr>
              <w:pStyle w:val="TableText"/>
              <w:ind w:left="114" w:right="182" w:hanging="4"/>
              <w:spacing w:line="320" w:lineRule="auto"/>
              <w:rPr/>
            </w:pPr>
            <w:r>
              <w:rPr/>
              <w:t>-－申报人应是依法成立并能够承担相应法律责任</w:t>
            </w:r>
            <w:r>
              <w:rPr>
                <w:spacing w:val="-1"/>
              </w:rPr>
              <w:t>的法人及其相</w:t>
            </w:r>
            <w:r>
              <w:rPr>
                <w:spacing w:val="-1"/>
              </w:rPr>
              <w:t>关组织，拥有申报产</w:t>
            </w:r>
            <w:r>
              <w:rPr>
                <w:spacing w:val="23"/>
              </w:rPr>
              <w:t xml:space="preserve"> </w:t>
            </w:r>
            <w:r>
              <w:rPr>
                <w:spacing w:val="-1"/>
              </w:rPr>
              <w:t>品的合法注册商标且与核准</w:t>
            </w:r>
            <w:r>
              <w:rPr>
                <w:spacing w:val="-2"/>
              </w:rPr>
              <w:t>类别一致；并</w:t>
            </w:r>
            <w:r>
              <w:rPr>
                <w:spacing w:val="-1"/>
              </w:rPr>
              <w:t>与申报评定品牌有直接管理和（或）使用权；</w:t>
            </w:r>
          </w:p>
          <w:p>
            <w:pPr>
              <w:pStyle w:val="TableText"/>
              <w:ind w:left="121" w:right="61" w:hanging="11"/>
              <w:spacing w:before="1" w:line="319" w:lineRule="auto"/>
              <w:rPr/>
            </w:pPr>
            <w:r>
              <w:rPr>
                <w:spacing w:val="-2"/>
              </w:rPr>
              <w:t>-－已按本文件的要求，建立和实施了文件化的来</w:t>
            </w:r>
            <w:r>
              <w:rPr>
                <w:spacing w:val="-3"/>
              </w:rPr>
              <w:t>源和管理体系，</w:t>
            </w:r>
            <w:r>
              <w:rPr>
                <w:spacing w:val="-2"/>
              </w:rPr>
              <w:t>需有效运行三个月以上；</w:t>
            </w:r>
          </w:p>
          <w:p>
            <w:pPr>
              <w:pStyle w:val="TableText"/>
              <w:ind w:left="112" w:right="182" w:hanging="2"/>
              <w:spacing w:line="320" w:lineRule="auto"/>
              <w:rPr/>
            </w:pPr>
            <w:r>
              <w:rPr/>
              <w:t>-－在质量、安全、技术、环保和卫生等方面满足</w:t>
            </w:r>
            <w:r>
              <w:rPr>
                <w:spacing w:val="-1"/>
              </w:rPr>
              <w:t>适用相关国家</w:t>
            </w:r>
            <w:r>
              <w:rPr>
                <w:spacing w:val="-3"/>
              </w:rPr>
              <w:t>标准；</w:t>
            </w:r>
          </w:p>
          <w:p>
            <w:pPr>
              <w:pStyle w:val="TableText"/>
              <w:ind w:left="110" w:right="182"/>
              <w:spacing w:line="320" w:lineRule="auto"/>
              <w:rPr/>
            </w:pPr>
            <w:r>
              <w:rPr/>
              <w:t>-－三年未发生一般及以上质量、安全、环保和卫</w:t>
            </w:r>
            <w:r>
              <w:rPr>
                <w:spacing w:val="-1"/>
              </w:rPr>
              <w:t>生等事故、行</w:t>
            </w:r>
            <w:r>
              <w:rPr>
                <w:spacing w:val="-1"/>
              </w:rPr>
              <w:t>政处罚和违法行为；</w:t>
            </w:r>
          </w:p>
          <w:p>
            <w:pPr>
              <w:pStyle w:val="TableText"/>
              <w:ind w:left="110"/>
              <w:spacing w:line="219" w:lineRule="auto"/>
              <w:rPr/>
            </w:pPr>
            <w:r>
              <w:rPr>
                <w:spacing w:val="-1"/>
              </w:rPr>
              <w:t>-－有责任人和联系人；</w:t>
            </w:r>
          </w:p>
          <w:p>
            <w:pPr>
              <w:pStyle w:val="TableText"/>
              <w:ind w:left="110"/>
              <w:spacing w:before="99" w:line="219" w:lineRule="auto"/>
              <w:rPr/>
            </w:pPr>
            <w:r>
              <w:rPr>
                <w:spacing w:val="-1"/>
              </w:rPr>
              <w:t>-－其他法律法规规定必须满足的情形等。</w:t>
            </w:r>
          </w:p>
        </w:tc>
      </w:tr>
      <w:tr>
        <w:trPr>
          <w:trHeight w:val="629" w:hRule="atLeast"/>
        </w:trPr>
        <w:tc>
          <w:tcPr>
            <w:tcW w:w="1392" w:type="dxa"/>
            <w:vAlign w:val="top"/>
            <w:vMerge w:val="restart"/>
            <w:tcBorders>
              <w:bottom w:val="nil"/>
            </w:tcBorders>
          </w:tcPr>
          <w:p>
            <w:pPr>
              <w:rPr>
                <w:rFonts w:ascii="Arial"/>
                <w:sz w:val="21"/>
              </w:rPr>
            </w:pPr>
            <w:r/>
          </w:p>
          <w:p>
            <w:pPr>
              <w:spacing w:line="241" w:lineRule="auto"/>
              <w:rPr>
                <w:rFonts w:ascii="Arial"/>
                <w:sz w:val="21"/>
              </w:rPr>
            </w:pPr>
            <w:r/>
          </w:p>
          <w:p>
            <w:pPr>
              <w:pStyle w:val="TableText"/>
              <w:ind w:left="344"/>
              <w:spacing w:before="59" w:line="220" w:lineRule="auto"/>
              <w:rPr/>
            </w:pPr>
            <w:r>
              <w:rPr>
                <w:spacing w:val="-3"/>
              </w:rPr>
              <w:t>非遗指标</w:t>
            </w:r>
          </w:p>
        </w:tc>
        <w:tc>
          <w:tcPr>
            <w:tcW w:w="1056" w:type="dxa"/>
            <w:vAlign w:val="top"/>
            <w:vMerge w:val="restart"/>
            <w:tcBorders>
              <w:bottom w:val="nil"/>
            </w:tcBorders>
          </w:tcPr>
          <w:p>
            <w:pPr>
              <w:rPr>
                <w:rFonts w:ascii="Arial"/>
                <w:sz w:val="21"/>
              </w:rPr>
            </w:pPr>
            <w:r/>
          </w:p>
          <w:p>
            <w:pPr>
              <w:spacing w:line="241" w:lineRule="auto"/>
              <w:rPr>
                <w:rFonts w:ascii="Arial"/>
                <w:sz w:val="21"/>
              </w:rPr>
            </w:pPr>
            <w:r/>
          </w:p>
          <w:p>
            <w:pPr>
              <w:pStyle w:val="TableText"/>
              <w:ind w:left="441"/>
              <w:spacing w:before="59" w:line="241" w:lineRule="auto"/>
              <w:rPr/>
            </w:pPr>
            <w:r>
              <w:rPr>
                <w:spacing w:val="-4"/>
              </w:rPr>
              <w:t>22</w:t>
            </w:r>
          </w:p>
        </w:tc>
        <w:tc>
          <w:tcPr>
            <w:tcW w:w="1259" w:type="dxa"/>
            <w:vAlign w:val="top"/>
          </w:tcPr>
          <w:p>
            <w:pPr>
              <w:pStyle w:val="TableText"/>
              <w:ind w:left="113" w:right="250"/>
              <w:spacing w:before="69" w:line="282" w:lineRule="auto"/>
              <w:rPr/>
            </w:pPr>
            <w:r>
              <w:rPr>
                <w:spacing w:val="-2"/>
              </w:rPr>
              <w:t>非遗项目层</w:t>
            </w:r>
            <w:r>
              <w:rPr>
                <w:spacing w:val="-8"/>
              </w:rPr>
              <w:t>级</w:t>
            </w:r>
            <w:r>
              <w:rPr>
                <w:spacing w:val="-23"/>
              </w:rPr>
              <w:t xml:space="preserve"> </w:t>
            </w:r>
            <w:r>
              <w:rPr>
                <w:spacing w:val="-8"/>
              </w:rPr>
              <w:t>12</w:t>
            </w:r>
            <w:r>
              <w:rPr>
                <w:spacing w:val="-36"/>
              </w:rPr>
              <w:t xml:space="preserve"> </w:t>
            </w:r>
            <w:r>
              <w:rPr>
                <w:spacing w:val="-8"/>
              </w:rPr>
              <w:t>分</w:t>
            </w:r>
          </w:p>
        </w:tc>
        <w:tc>
          <w:tcPr>
            <w:tcW w:w="5243" w:type="dxa"/>
            <w:vAlign w:val="top"/>
          </w:tcPr>
          <w:p>
            <w:pPr>
              <w:pStyle w:val="TableText"/>
              <w:ind w:left="129"/>
              <w:spacing w:before="224" w:line="219" w:lineRule="auto"/>
              <w:rPr/>
            </w:pPr>
            <w:r>
              <w:rPr>
                <w:spacing w:val="-4"/>
              </w:rPr>
              <w:t>国家级</w:t>
            </w:r>
            <w:r>
              <w:rPr>
                <w:spacing w:val="-19"/>
              </w:rPr>
              <w:t xml:space="preserve"> </w:t>
            </w:r>
            <w:r>
              <w:rPr>
                <w:spacing w:val="-4"/>
              </w:rPr>
              <w:t>12；省级</w:t>
            </w:r>
            <w:r>
              <w:rPr>
                <w:spacing w:val="-36"/>
              </w:rPr>
              <w:t xml:space="preserve"> </w:t>
            </w:r>
            <w:r>
              <w:rPr>
                <w:spacing w:val="-4"/>
              </w:rPr>
              <w:t>9；市级</w:t>
            </w:r>
            <w:r>
              <w:rPr>
                <w:spacing w:val="-36"/>
              </w:rPr>
              <w:t xml:space="preserve"> </w:t>
            </w:r>
            <w:r>
              <w:rPr>
                <w:spacing w:val="-4"/>
              </w:rPr>
              <w:t>6；县级</w:t>
            </w:r>
            <w:r>
              <w:rPr>
                <w:spacing w:val="-37"/>
              </w:rPr>
              <w:t xml:space="preserve"> </w:t>
            </w:r>
            <w:r>
              <w:rPr>
                <w:spacing w:val="-4"/>
              </w:rPr>
              <w:t>3</w:t>
            </w:r>
          </w:p>
        </w:tc>
      </w:tr>
      <w:tr>
        <w:trPr>
          <w:trHeight w:val="629" w:hRule="atLeast"/>
        </w:trPr>
        <w:tc>
          <w:tcPr>
            <w:tcW w:w="1392" w:type="dxa"/>
            <w:vAlign w:val="top"/>
            <w:vMerge w:val="continue"/>
            <w:tcBorders>
              <w:top w:val="nil"/>
            </w:tcBorders>
          </w:tcPr>
          <w:p>
            <w:pPr>
              <w:rPr>
                <w:rFonts w:ascii="Arial"/>
                <w:sz w:val="21"/>
              </w:rPr>
            </w:pPr>
            <w:r/>
          </w:p>
        </w:tc>
        <w:tc>
          <w:tcPr>
            <w:tcW w:w="1056" w:type="dxa"/>
            <w:vAlign w:val="top"/>
            <w:vMerge w:val="continue"/>
            <w:tcBorders>
              <w:top w:val="nil"/>
            </w:tcBorders>
          </w:tcPr>
          <w:p>
            <w:pPr>
              <w:rPr>
                <w:rFonts w:ascii="Arial"/>
                <w:sz w:val="21"/>
              </w:rPr>
            </w:pPr>
            <w:r/>
          </w:p>
        </w:tc>
        <w:tc>
          <w:tcPr>
            <w:tcW w:w="1259" w:type="dxa"/>
            <w:vAlign w:val="top"/>
          </w:tcPr>
          <w:p>
            <w:pPr>
              <w:pStyle w:val="TableText"/>
              <w:ind w:left="123" w:right="250" w:hanging="14"/>
              <w:spacing w:before="71" w:line="281" w:lineRule="auto"/>
              <w:rPr/>
            </w:pPr>
            <w:r>
              <w:rPr>
                <w:spacing w:val="-2"/>
              </w:rPr>
              <w:t>传承人资质</w:t>
            </w:r>
            <w:r>
              <w:rPr>
                <w:spacing w:val="-7"/>
              </w:rPr>
              <w:t>10</w:t>
            </w:r>
            <w:r>
              <w:rPr>
                <w:spacing w:val="-36"/>
              </w:rPr>
              <w:t xml:space="preserve"> </w:t>
            </w:r>
            <w:r>
              <w:rPr>
                <w:spacing w:val="-7"/>
              </w:rPr>
              <w:t>分</w:t>
            </w:r>
          </w:p>
        </w:tc>
        <w:tc>
          <w:tcPr>
            <w:tcW w:w="5243" w:type="dxa"/>
            <w:vAlign w:val="top"/>
          </w:tcPr>
          <w:p>
            <w:pPr>
              <w:pStyle w:val="TableText"/>
              <w:ind w:left="113" w:right="107" w:firstLine="28"/>
              <w:spacing w:before="71" w:line="281" w:lineRule="auto"/>
              <w:rPr/>
            </w:pPr>
            <w:r>
              <w:rPr>
                <w:spacing w:val="-4"/>
              </w:rPr>
              <w:t>自有对应层级传承人满分；长期授权合作</w:t>
            </w:r>
            <w:r>
              <w:rPr>
                <w:spacing w:val="-22"/>
              </w:rPr>
              <w:t xml:space="preserve"> </w:t>
            </w:r>
            <w:r>
              <w:rPr>
                <w:spacing w:val="-4"/>
              </w:rPr>
              <w:t>6-9 分；无固定传承人</w:t>
            </w:r>
            <w:r>
              <w:rPr>
                <w:spacing w:val="-3"/>
              </w:rPr>
              <w:t>0-5</w:t>
            </w:r>
            <w:r>
              <w:rPr>
                <w:spacing w:val="11"/>
              </w:rPr>
              <w:t xml:space="preserve"> </w:t>
            </w:r>
            <w:r>
              <w:rPr>
                <w:spacing w:val="-3"/>
              </w:rPr>
              <w:t>分</w:t>
            </w:r>
          </w:p>
        </w:tc>
      </w:tr>
      <w:tr>
        <w:trPr>
          <w:trHeight w:val="629" w:hRule="atLeast"/>
        </w:trPr>
        <w:tc>
          <w:tcPr>
            <w:tcW w:w="1392" w:type="dxa"/>
            <w:vAlign w:val="top"/>
            <w:vMerge w:val="restart"/>
            <w:tcBorders>
              <w:bottom w:val="nil"/>
            </w:tcBorders>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pStyle w:val="TableText"/>
              <w:ind w:left="119"/>
              <w:spacing w:before="58" w:line="219" w:lineRule="auto"/>
              <w:rPr/>
            </w:pPr>
            <w:r>
              <w:rPr>
                <w:spacing w:val="-2"/>
              </w:rPr>
              <w:t>知识产权指标</w:t>
            </w:r>
          </w:p>
        </w:tc>
        <w:tc>
          <w:tcPr>
            <w:tcW w:w="1056" w:type="dxa"/>
            <w:vAlign w:val="top"/>
            <w:vMerge w:val="restart"/>
            <w:tcBorders>
              <w:bottom w:val="nil"/>
            </w:tcBorders>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24"/>
              <w:spacing w:before="59"/>
              <w:rPr/>
            </w:pPr>
            <w:r>
              <w:rPr>
                <w:spacing w:val="-10"/>
              </w:rPr>
              <w:t>18</w:t>
            </w:r>
          </w:p>
        </w:tc>
        <w:tc>
          <w:tcPr>
            <w:tcW w:w="1259" w:type="dxa"/>
            <w:vAlign w:val="top"/>
          </w:tcPr>
          <w:p>
            <w:pPr>
              <w:pStyle w:val="TableText"/>
              <w:ind w:left="114"/>
              <w:spacing w:before="69" w:line="219" w:lineRule="auto"/>
              <w:rPr/>
            </w:pPr>
            <w:r>
              <w:rPr>
                <w:spacing w:val="-3"/>
              </w:rPr>
              <w:t>商标布局</w:t>
            </w:r>
            <w:r>
              <w:rPr>
                <w:spacing w:val="13"/>
              </w:rPr>
              <w:t xml:space="preserve"> </w:t>
            </w:r>
            <w:r>
              <w:rPr>
                <w:spacing w:val="-3"/>
              </w:rPr>
              <w:t>6</w:t>
            </w:r>
          </w:p>
          <w:p>
            <w:pPr>
              <w:pStyle w:val="TableText"/>
              <w:ind w:left="112"/>
              <w:spacing w:before="98" w:line="220" w:lineRule="auto"/>
              <w:rPr/>
            </w:pPr>
            <w:r>
              <w:rPr/>
              <w:t>分</w:t>
            </w:r>
          </w:p>
        </w:tc>
        <w:tc>
          <w:tcPr>
            <w:tcW w:w="5243" w:type="dxa"/>
            <w:vAlign w:val="top"/>
          </w:tcPr>
          <w:p>
            <w:pPr>
              <w:pStyle w:val="TableText"/>
              <w:ind w:left="111"/>
              <w:spacing w:before="226" w:line="219" w:lineRule="auto"/>
              <w:rPr/>
            </w:pPr>
            <w:r>
              <w:rPr>
                <w:spacing w:val="-1"/>
              </w:rPr>
              <w:t>全品类注册 6 分；单一核心商标 3-5</w:t>
            </w:r>
            <w:r>
              <w:rPr>
                <w:spacing w:val="13"/>
              </w:rPr>
              <w:t xml:space="preserve"> </w:t>
            </w:r>
            <w:r>
              <w:rPr>
                <w:spacing w:val="-1"/>
              </w:rPr>
              <w:t>分；商标不全</w:t>
            </w:r>
            <w:r>
              <w:rPr>
                <w:spacing w:val="10"/>
              </w:rPr>
              <w:t xml:space="preserve"> </w:t>
            </w:r>
            <w:r>
              <w:rPr>
                <w:spacing w:val="-1"/>
              </w:rPr>
              <w:t>0-2</w:t>
            </w:r>
            <w:r>
              <w:rPr>
                <w:spacing w:val="9"/>
              </w:rPr>
              <w:t xml:space="preserve"> </w:t>
            </w:r>
            <w:r>
              <w:rPr>
                <w:spacing w:val="-1"/>
              </w:rPr>
              <w:t>分</w:t>
            </w:r>
          </w:p>
        </w:tc>
      </w:tr>
      <w:tr>
        <w:trPr>
          <w:trHeight w:val="628" w:hRule="atLeast"/>
        </w:trPr>
        <w:tc>
          <w:tcPr>
            <w:tcW w:w="1392" w:type="dxa"/>
            <w:vAlign w:val="top"/>
            <w:vMerge w:val="continue"/>
            <w:tcBorders>
              <w:top w:val="nil"/>
              <w:bottom w:val="nil"/>
            </w:tcBorders>
          </w:tcPr>
          <w:p>
            <w:pPr>
              <w:rPr>
                <w:rFonts w:ascii="Arial"/>
                <w:sz w:val="21"/>
              </w:rPr>
            </w:pPr>
            <w:r/>
          </w:p>
        </w:tc>
        <w:tc>
          <w:tcPr>
            <w:tcW w:w="1056" w:type="dxa"/>
            <w:vAlign w:val="top"/>
            <w:vMerge w:val="continue"/>
            <w:tcBorders>
              <w:top w:val="nil"/>
              <w:bottom w:val="nil"/>
            </w:tcBorders>
          </w:tcPr>
          <w:p>
            <w:pPr>
              <w:rPr>
                <w:rFonts w:ascii="Arial"/>
                <w:sz w:val="21"/>
              </w:rPr>
            </w:pPr>
            <w:r/>
          </w:p>
        </w:tc>
        <w:tc>
          <w:tcPr>
            <w:tcW w:w="1259" w:type="dxa"/>
            <w:vAlign w:val="top"/>
          </w:tcPr>
          <w:p>
            <w:pPr>
              <w:pStyle w:val="TableText"/>
              <w:ind w:left="112" w:right="249" w:hanging="1"/>
              <w:spacing w:before="70" w:line="281" w:lineRule="auto"/>
              <w:rPr/>
            </w:pPr>
            <w:r>
              <w:rPr>
                <w:spacing w:val="-4"/>
              </w:rPr>
              <w:t>专利产权</w:t>
            </w:r>
            <w:r>
              <w:rPr>
                <w:spacing w:val="12"/>
              </w:rPr>
              <w:t xml:space="preserve"> </w:t>
            </w:r>
            <w:r>
              <w:rPr>
                <w:spacing w:val="-4"/>
              </w:rPr>
              <w:t>6</w:t>
            </w:r>
            <w:r>
              <w:rPr/>
              <w:t>分</w:t>
            </w:r>
          </w:p>
        </w:tc>
        <w:tc>
          <w:tcPr>
            <w:tcW w:w="5243" w:type="dxa"/>
            <w:vAlign w:val="top"/>
          </w:tcPr>
          <w:p>
            <w:pPr>
              <w:pStyle w:val="TableText"/>
              <w:ind w:left="114"/>
              <w:spacing w:before="225" w:line="219" w:lineRule="auto"/>
              <w:rPr/>
            </w:pPr>
            <w:r>
              <w:rPr>
                <w:spacing w:val="-1"/>
              </w:rPr>
              <w:t>发明 / 实用新型每项 2 分，上限</w:t>
            </w:r>
            <w:r>
              <w:rPr>
                <w:spacing w:val="11"/>
              </w:rPr>
              <w:t xml:space="preserve"> </w:t>
            </w:r>
            <w:r>
              <w:rPr>
                <w:spacing w:val="-1"/>
              </w:rPr>
              <w:t>6</w:t>
            </w:r>
            <w:r>
              <w:rPr>
                <w:spacing w:val="9"/>
              </w:rPr>
              <w:t xml:space="preserve"> </w:t>
            </w:r>
            <w:r>
              <w:rPr>
                <w:spacing w:val="-1"/>
              </w:rPr>
              <w:t>分；仅外观专利酌情减分</w:t>
            </w:r>
          </w:p>
        </w:tc>
      </w:tr>
      <w:tr>
        <w:trPr>
          <w:trHeight w:val="629" w:hRule="atLeast"/>
        </w:trPr>
        <w:tc>
          <w:tcPr>
            <w:tcW w:w="1392" w:type="dxa"/>
            <w:vAlign w:val="top"/>
            <w:vMerge w:val="continue"/>
            <w:tcBorders>
              <w:top w:val="nil"/>
            </w:tcBorders>
          </w:tcPr>
          <w:p>
            <w:pPr>
              <w:rPr>
                <w:rFonts w:ascii="Arial"/>
                <w:sz w:val="21"/>
              </w:rPr>
            </w:pPr>
            <w:r/>
          </w:p>
        </w:tc>
        <w:tc>
          <w:tcPr>
            <w:tcW w:w="1056" w:type="dxa"/>
            <w:vAlign w:val="top"/>
            <w:vMerge w:val="continue"/>
            <w:tcBorders>
              <w:top w:val="nil"/>
            </w:tcBorders>
          </w:tcPr>
          <w:p>
            <w:pPr>
              <w:rPr>
                <w:rFonts w:ascii="Arial"/>
                <w:sz w:val="21"/>
              </w:rPr>
            </w:pPr>
            <w:r/>
          </w:p>
        </w:tc>
        <w:tc>
          <w:tcPr>
            <w:tcW w:w="1259" w:type="dxa"/>
            <w:vAlign w:val="top"/>
          </w:tcPr>
          <w:p>
            <w:pPr>
              <w:pStyle w:val="TableText"/>
              <w:ind w:left="113" w:right="337"/>
              <w:spacing w:before="69" w:line="282" w:lineRule="auto"/>
              <w:rPr/>
            </w:pPr>
            <w:r>
              <w:rPr>
                <w:spacing w:val="-6"/>
              </w:rPr>
              <w:t>著作权</w:t>
            </w:r>
            <w:r>
              <w:rPr>
                <w:spacing w:val="21"/>
              </w:rPr>
              <w:t xml:space="preserve"> </w:t>
            </w:r>
            <w:r>
              <w:rPr>
                <w:spacing w:val="-6"/>
              </w:rPr>
              <w:t>IP</w:t>
            </w:r>
            <w:r>
              <w:rPr>
                <w:spacing w:val="-8"/>
              </w:rPr>
              <w:t>登记</w:t>
            </w:r>
            <w:r>
              <w:rPr>
                <w:spacing w:val="12"/>
              </w:rPr>
              <w:t xml:space="preserve"> </w:t>
            </w:r>
            <w:r>
              <w:rPr>
                <w:spacing w:val="-8"/>
              </w:rPr>
              <w:t>6</w:t>
            </w:r>
            <w:r>
              <w:rPr>
                <w:spacing w:val="9"/>
              </w:rPr>
              <w:t xml:space="preserve"> </w:t>
            </w:r>
            <w:r>
              <w:rPr>
                <w:spacing w:val="-8"/>
              </w:rPr>
              <w:t>分</w:t>
            </w:r>
          </w:p>
        </w:tc>
        <w:tc>
          <w:tcPr>
            <w:tcW w:w="5243" w:type="dxa"/>
            <w:vAlign w:val="top"/>
          </w:tcPr>
          <w:p>
            <w:pPr>
              <w:pStyle w:val="TableText"/>
              <w:ind w:left="114"/>
              <w:spacing w:before="226" w:line="219" w:lineRule="auto"/>
              <w:rPr/>
            </w:pPr>
            <w:r>
              <w:rPr>
                <w:spacing w:val="-3"/>
              </w:rPr>
              <w:t>非遗</w:t>
            </w:r>
            <w:r>
              <w:rPr>
                <w:spacing w:val="-19"/>
              </w:rPr>
              <w:t xml:space="preserve"> </w:t>
            </w:r>
            <w:r>
              <w:rPr>
                <w:spacing w:val="-3"/>
              </w:rPr>
              <w:t>IP、文创、数字版权每项</w:t>
            </w:r>
            <w:r>
              <w:rPr>
                <w:spacing w:val="-36"/>
              </w:rPr>
              <w:t xml:space="preserve"> </w:t>
            </w:r>
            <w:r>
              <w:rPr>
                <w:spacing w:val="-3"/>
              </w:rPr>
              <w:t>2</w:t>
            </w:r>
            <w:r>
              <w:rPr>
                <w:spacing w:val="-36"/>
              </w:rPr>
              <w:t xml:space="preserve"> </w:t>
            </w:r>
            <w:r>
              <w:rPr>
                <w:spacing w:val="-3"/>
              </w:rPr>
              <w:t>分，上限</w:t>
            </w:r>
            <w:r>
              <w:rPr>
                <w:spacing w:val="-36"/>
              </w:rPr>
              <w:t xml:space="preserve"> </w:t>
            </w:r>
            <w:r>
              <w:rPr>
                <w:spacing w:val="-3"/>
              </w:rPr>
              <w:t>6</w:t>
            </w:r>
            <w:r>
              <w:rPr>
                <w:spacing w:val="-36"/>
              </w:rPr>
              <w:t xml:space="preserve"> </w:t>
            </w:r>
            <w:r>
              <w:rPr>
                <w:spacing w:val="-3"/>
              </w:rPr>
              <w:t>分；无版权</w:t>
            </w:r>
            <w:r>
              <w:rPr>
                <w:spacing w:val="-36"/>
              </w:rPr>
              <w:t xml:space="preserve"> </w:t>
            </w:r>
            <w:r>
              <w:rPr>
                <w:spacing w:val="-3"/>
              </w:rPr>
              <w:t>0</w:t>
            </w:r>
            <w:r>
              <w:rPr>
                <w:spacing w:val="-37"/>
              </w:rPr>
              <w:t xml:space="preserve"> </w:t>
            </w:r>
            <w:r>
              <w:rPr>
                <w:spacing w:val="-3"/>
              </w:rPr>
              <w:t>分</w:t>
            </w:r>
          </w:p>
        </w:tc>
      </w:tr>
      <w:tr>
        <w:trPr>
          <w:trHeight w:val="629" w:hRule="atLeast"/>
        </w:trPr>
        <w:tc>
          <w:tcPr>
            <w:tcW w:w="1392" w:type="dxa"/>
            <w:vAlign w:val="top"/>
            <w:vMerge w:val="restart"/>
            <w:tcBorders>
              <w:bottom w:val="nil"/>
            </w:tcBorders>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4"/>
              <w:spacing w:before="58" w:line="219" w:lineRule="auto"/>
              <w:rPr/>
            </w:pPr>
            <w:r>
              <w:rPr>
                <w:spacing w:val="-2"/>
              </w:rPr>
              <w:t>传承指标</w:t>
            </w:r>
          </w:p>
        </w:tc>
        <w:tc>
          <w:tcPr>
            <w:tcW w:w="1056" w:type="dxa"/>
            <w:vAlign w:val="top"/>
            <w:vMerge w:val="restart"/>
            <w:tcBorders>
              <w:bottom w:val="nil"/>
            </w:tcBorders>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24"/>
              <w:spacing w:before="58"/>
              <w:rPr/>
            </w:pPr>
            <w:r>
              <w:rPr>
                <w:spacing w:val="-10"/>
              </w:rPr>
              <w:t>15</w:t>
            </w:r>
          </w:p>
        </w:tc>
        <w:tc>
          <w:tcPr>
            <w:tcW w:w="1259" w:type="dxa"/>
            <w:vAlign w:val="top"/>
          </w:tcPr>
          <w:p>
            <w:pPr>
              <w:pStyle w:val="TableText"/>
              <w:ind w:left="111" w:right="250" w:hanging="2"/>
              <w:spacing w:before="69" w:line="282" w:lineRule="auto"/>
              <w:rPr/>
            </w:pPr>
            <w:r>
              <w:rPr>
                <w:spacing w:val="-2"/>
              </w:rPr>
              <w:t>传承谱系完</w:t>
            </w:r>
            <w:r>
              <w:rPr>
                <w:spacing w:val="-5"/>
              </w:rPr>
              <w:t>整度</w:t>
            </w:r>
            <w:r>
              <w:rPr>
                <w:spacing w:val="-34"/>
              </w:rPr>
              <w:t xml:space="preserve"> </w:t>
            </w:r>
            <w:r>
              <w:rPr>
                <w:spacing w:val="-5"/>
              </w:rPr>
              <w:t>5</w:t>
            </w:r>
            <w:r>
              <w:rPr>
                <w:spacing w:val="10"/>
              </w:rPr>
              <w:t xml:space="preserve"> </w:t>
            </w:r>
            <w:r>
              <w:rPr>
                <w:spacing w:val="-5"/>
              </w:rPr>
              <w:t>分</w:t>
            </w:r>
          </w:p>
        </w:tc>
        <w:tc>
          <w:tcPr>
            <w:tcW w:w="5243" w:type="dxa"/>
            <w:vAlign w:val="top"/>
          </w:tcPr>
          <w:p>
            <w:pPr>
              <w:pStyle w:val="TableText"/>
              <w:ind w:left="113"/>
              <w:spacing w:before="225" w:line="219" w:lineRule="auto"/>
              <w:rPr/>
            </w:pPr>
            <w:r>
              <w:rPr>
                <w:spacing w:val="-4"/>
              </w:rPr>
              <w:t>家族≥5</w:t>
            </w:r>
            <w:r>
              <w:rPr>
                <w:spacing w:val="-37"/>
              </w:rPr>
              <w:t xml:space="preserve"> </w:t>
            </w:r>
            <w:r>
              <w:rPr>
                <w:spacing w:val="-4"/>
              </w:rPr>
              <w:t>代 / 师徒≥3</w:t>
            </w:r>
            <w:r>
              <w:rPr>
                <w:spacing w:val="-39"/>
              </w:rPr>
              <w:t xml:space="preserve"> </w:t>
            </w:r>
            <w:r>
              <w:rPr>
                <w:spacing w:val="-4"/>
              </w:rPr>
              <w:t>代</w:t>
            </w:r>
            <w:r>
              <w:rPr>
                <w:spacing w:val="-34"/>
              </w:rPr>
              <w:t xml:space="preserve"> </w:t>
            </w:r>
            <w:r>
              <w:rPr>
                <w:spacing w:val="-4"/>
              </w:rPr>
              <w:t>5</w:t>
            </w:r>
            <w:r>
              <w:rPr>
                <w:spacing w:val="-36"/>
              </w:rPr>
              <w:t xml:space="preserve"> </w:t>
            </w:r>
            <w:r>
              <w:rPr>
                <w:spacing w:val="-4"/>
              </w:rPr>
              <w:t>分；2-4</w:t>
            </w:r>
            <w:r>
              <w:rPr>
                <w:spacing w:val="-40"/>
              </w:rPr>
              <w:t xml:space="preserve"> </w:t>
            </w:r>
            <w:r>
              <w:rPr>
                <w:spacing w:val="-4"/>
              </w:rPr>
              <w:t>代</w:t>
            </w:r>
            <w:r>
              <w:rPr>
                <w:spacing w:val="-35"/>
              </w:rPr>
              <w:t xml:space="preserve"> </w:t>
            </w:r>
            <w:r>
              <w:rPr>
                <w:spacing w:val="-4"/>
              </w:rPr>
              <w:t>2—4</w:t>
            </w:r>
            <w:r>
              <w:rPr>
                <w:spacing w:val="-34"/>
              </w:rPr>
              <w:t xml:space="preserve"> </w:t>
            </w:r>
            <w:r>
              <w:rPr>
                <w:spacing w:val="-4"/>
              </w:rPr>
              <w:t>分；谱系</w:t>
            </w:r>
            <w:r>
              <w:rPr>
                <w:spacing w:val="-5"/>
              </w:rPr>
              <w:t>残缺</w:t>
            </w:r>
            <w:r>
              <w:rPr>
                <w:spacing w:val="-36"/>
              </w:rPr>
              <w:t xml:space="preserve"> </w:t>
            </w:r>
            <w:r>
              <w:rPr>
                <w:spacing w:val="-5"/>
              </w:rPr>
              <w:t>0-2</w:t>
            </w:r>
            <w:r>
              <w:rPr>
                <w:spacing w:val="-36"/>
              </w:rPr>
              <w:t xml:space="preserve"> </w:t>
            </w:r>
            <w:r>
              <w:rPr>
                <w:spacing w:val="-5"/>
              </w:rPr>
              <w:t>分</w:t>
            </w:r>
          </w:p>
        </w:tc>
      </w:tr>
      <w:tr>
        <w:trPr>
          <w:trHeight w:val="629" w:hRule="atLeast"/>
        </w:trPr>
        <w:tc>
          <w:tcPr>
            <w:tcW w:w="1392" w:type="dxa"/>
            <w:vAlign w:val="top"/>
            <w:vMerge w:val="continue"/>
            <w:tcBorders>
              <w:top w:val="nil"/>
              <w:bottom w:val="nil"/>
            </w:tcBorders>
          </w:tcPr>
          <w:p>
            <w:pPr>
              <w:rPr>
                <w:rFonts w:ascii="Arial"/>
                <w:sz w:val="21"/>
              </w:rPr>
            </w:pPr>
            <w:r/>
          </w:p>
        </w:tc>
        <w:tc>
          <w:tcPr>
            <w:tcW w:w="1056" w:type="dxa"/>
            <w:vAlign w:val="top"/>
            <w:vMerge w:val="continue"/>
            <w:tcBorders>
              <w:top w:val="nil"/>
              <w:bottom w:val="nil"/>
            </w:tcBorders>
          </w:tcPr>
          <w:p>
            <w:pPr>
              <w:rPr>
                <w:rFonts w:ascii="Arial"/>
                <w:sz w:val="21"/>
              </w:rPr>
            </w:pPr>
            <w:r/>
          </w:p>
        </w:tc>
        <w:tc>
          <w:tcPr>
            <w:tcW w:w="1259" w:type="dxa"/>
            <w:vAlign w:val="top"/>
          </w:tcPr>
          <w:p>
            <w:pPr>
              <w:pStyle w:val="TableText"/>
              <w:ind w:left="113" w:right="250" w:firstLine="1"/>
              <w:spacing w:before="69" w:line="282" w:lineRule="auto"/>
              <w:rPr/>
            </w:pPr>
            <w:r>
              <w:rPr>
                <w:spacing w:val="-3"/>
              </w:rPr>
              <w:t>常态化传习</w:t>
            </w:r>
            <w:r>
              <w:rPr>
                <w:spacing w:val="-6"/>
              </w:rPr>
              <w:t>活动</w:t>
            </w:r>
            <w:r>
              <w:rPr>
                <w:spacing w:val="14"/>
              </w:rPr>
              <w:t xml:space="preserve"> </w:t>
            </w:r>
            <w:r>
              <w:rPr>
                <w:spacing w:val="-6"/>
              </w:rPr>
              <w:t>5</w:t>
            </w:r>
            <w:r>
              <w:rPr>
                <w:spacing w:val="9"/>
              </w:rPr>
              <w:t xml:space="preserve"> </w:t>
            </w:r>
            <w:r>
              <w:rPr>
                <w:spacing w:val="-6"/>
              </w:rPr>
              <w:t>分</w:t>
            </w:r>
          </w:p>
        </w:tc>
        <w:tc>
          <w:tcPr>
            <w:tcW w:w="5243" w:type="dxa"/>
            <w:vAlign w:val="top"/>
          </w:tcPr>
          <w:p>
            <w:pPr>
              <w:pStyle w:val="TableText"/>
              <w:ind w:left="111" w:right="106" w:firstLine="1"/>
              <w:spacing w:before="69" w:line="282" w:lineRule="auto"/>
              <w:rPr/>
            </w:pPr>
            <w:r>
              <w:rPr>
                <w:spacing w:val="-3"/>
              </w:rPr>
              <w:t>年度≥12 场传习 / 展演、展示满分；6-11 场</w:t>
            </w:r>
            <w:r>
              <w:rPr>
                <w:spacing w:val="16"/>
              </w:rPr>
              <w:t xml:space="preserve"> </w:t>
            </w:r>
            <w:r>
              <w:rPr>
                <w:spacing w:val="-3"/>
              </w:rPr>
              <w:t>2—4</w:t>
            </w:r>
            <w:r>
              <w:rPr>
                <w:spacing w:val="-36"/>
              </w:rPr>
              <w:t xml:space="preserve"> </w:t>
            </w:r>
            <w:r>
              <w:rPr>
                <w:spacing w:val="-3"/>
              </w:rPr>
              <w:t>分；不足</w:t>
            </w:r>
            <w:r>
              <w:rPr>
                <w:spacing w:val="10"/>
              </w:rPr>
              <w:t xml:space="preserve"> </w:t>
            </w:r>
            <w:r>
              <w:rPr>
                <w:spacing w:val="-3"/>
              </w:rPr>
              <w:t>6</w:t>
            </w:r>
            <w:r>
              <w:rPr>
                <w:spacing w:val="-3"/>
              </w:rPr>
              <w:t>场</w:t>
            </w:r>
            <w:r>
              <w:rPr>
                <w:spacing w:val="9"/>
              </w:rPr>
              <w:t xml:space="preserve"> </w:t>
            </w:r>
            <w:r>
              <w:rPr>
                <w:spacing w:val="-3"/>
              </w:rPr>
              <w:t>0-2</w:t>
            </w:r>
            <w:r>
              <w:rPr>
                <w:spacing w:val="9"/>
              </w:rPr>
              <w:t xml:space="preserve"> </w:t>
            </w:r>
            <w:r>
              <w:rPr>
                <w:spacing w:val="-3"/>
              </w:rPr>
              <w:t>分</w:t>
            </w:r>
          </w:p>
        </w:tc>
      </w:tr>
      <w:tr>
        <w:trPr>
          <w:trHeight w:val="628" w:hRule="atLeast"/>
        </w:trPr>
        <w:tc>
          <w:tcPr>
            <w:tcW w:w="1392" w:type="dxa"/>
            <w:vAlign w:val="top"/>
            <w:vMerge w:val="continue"/>
            <w:tcBorders>
              <w:top w:val="nil"/>
            </w:tcBorders>
          </w:tcPr>
          <w:p>
            <w:pPr>
              <w:rPr>
                <w:rFonts w:ascii="Arial"/>
                <w:sz w:val="21"/>
              </w:rPr>
            </w:pPr>
            <w:r/>
          </w:p>
        </w:tc>
        <w:tc>
          <w:tcPr>
            <w:tcW w:w="1056" w:type="dxa"/>
            <w:vAlign w:val="top"/>
            <w:vMerge w:val="continue"/>
            <w:tcBorders>
              <w:top w:val="nil"/>
            </w:tcBorders>
          </w:tcPr>
          <w:p>
            <w:pPr>
              <w:rPr>
                <w:rFonts w:ascii="Arial"/>
                <w:sz w:val="21"/>
              </w:rPr>
            </w:pPr>
            <w:r/>
          </w:p>
        </w:tc>
        <w:tc>
          <w:tcPr>
            <w:tcW w:w="1259" w:type="dxa"/>
            <w:vAlign w:val="top"/>
          </w:tcPr>
          <w:p>
            <w:pPr>
              <w:pStyle w:val="TableText"/>
              <w:ind w:left="117" w:right="250" w:hanging="8"/>
              <w:spacing w:before="71" w:line="280" w:lineRule="auto"/>
              <w:rPr/>
            </w:pPr>
            <w:r>
              <w:rPr>
                <w:spacing w:val="-2"/>
              </w:rPr>
              <w:t>传承人才培</w:t>
            </w:r>
            <w:r>
              <w:rPr>
                <w:spacing w:val="-9"/>
              </w:rPr>
              <w:t>育</w:t>
            </w:r>
            <w:r>
              <w:rPr>
                <w:spacing w:val="-33"/>
              </w:rPr>
              <w:t xml:space="preserve"> </w:t>
            </w:r>
            <w:r>
              <w:rPr>
                <w:spacing w:val="-9"/>
              </w:rPr>
              <w:t>5</w:t>
            </w:r>
            <w:r>
              <w:rPr>
                <w:spacing w:val="-36"/>
              </w:rPr>
              <w:t xml:space="preserve"> </w:t>
            </w:r>
            <w:r>
              <w:rPr>
                <w:spacing w:val="-9"/>
              </w:rPr>
              <w:t>分</w:t>
            </w:r>
          </w:p>
        </w:tc>
        <w:tc>
          <w:tcPr>
            <w:tcW w:w="5243" w:type="dxa"/>
            <w:vAlign w:val="top"/>
          </w:tcPr>
          <w:p>
            <w:pPr>
              <w:pStyle w:val="TableText"/>
              <w:ind w:left="111"/>
              <w:spacing w:before="226" w:line="219" w:lineRule="auto"/>
              <w:rPr/>
            </w:pPr>
            <w:r>
              <w:rPr>
                <w:spacing w:val="-1"/>
              </w:rPr>
              <w:t>青年传承人占比高、</w:t>
            </w:r>
            <w:r>
              <w:rPr>
                <w:spacing w:val="-53"/>
              </w:rPr>
              <w:t xml:space="preserve"> </w:t>
            </w:r>
            <w:r>
              <w:rPr>
                <w:spacing w:val="-1"/>
              </w:rPr>
              <w:t>自有传习基地满分；无人才计划</w:t>
            </w:r>
            <w:r>
              <w:rPr>
                <w:spacing w:val="-2"/>
              </w:rPr>
              <w:t xml:space="preserve"> 0-3 分</w:t>
            </w:r>
          </w:p>
        </w:tc>
      </w:tr>
      <w:tr>
        <w:trPr>
          <w:trHeight w:val="629" w:hRule="atLeast"/>
        </w:trPr>
        <w:tc>
          <w:tcPr>
            <w:tcW w:w="1392" w:type="dxa"/>
            <w:vAlign w:val="top"/>
            <w:vMerge w:val="restart"/>
            <w:tcBorders>
              <w:bottom w:val="nil"/>
            </w:tcBorders>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5"/>
              <w:spacing w:before="58" w:line="220" w:lineRule="auto"/>
              <w:rPr/>
            </w:pPr>
            <w:r>
              <w:rPr>
                <w:spacing w:val="-2"/>
              </w:rPr>
              <w:t>创新指标</w:t>
            </w:r>
          </w:p>
        </w:tc>
        <w:tc>
          <w:tcPr>
            <w:tcW w:w="1056" w:type="dxa"/>
            <w:vAlign w:val="top"/>
            <w:vMerge w:val="restart"/>
            <w:tcBorders>
              <w:bottom w:val="nil"/>
            </w:tcBorders>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2"/>
              <w:spacing w:before="59"/>
              <w:rPr/>
            </w:pPr>
            <w:r>
              <w:rPr>
                <w:spacing w:val="-4"/>
              </w:rPr>
              <w:t>20</w:t>
            </w:r>
          </w:p>
        </w:tc>
        <w:tc>
          <w:tcPr>
            <w:tcW w:w="1259" w:type="dxa"/>
            <w:vAlign w:val="top"/>
          </w:tcPr>
          <w:p>
            <w:pPr>
              <w:pStyle w:val="TableText"/>
              <w:ind w:left="110" w:right="250"/>
              <w:spacing w:before="71" w:line="281" w:lineRule="auto"/>
              <w:rPr/>
            </w:pPr>
            <w:r>
              <w:rPr>
                <w:spacing w:val="-2"/>
              </w:rPr>
              <w:t>产品服务创</w:t>
            </w:r>
            <w:r>
              <w:rPr>
                <w:spacing w:val="-6"/>
              </w:rPr>
              <w:t>新</w:t>
            </w:r>
            <w:r>
              <w:rPr>
                <w:spacing w:val="-36"/>
              </w:rPr>
              <w:t xml:space="preserve"> </w:t>
            </w:r>
            <w:r>
              <w:rPr>
                <w:spacing w:val="-6"/>
              </w:rPr>
              <w:t>8</w:t>
            </w:r>
            <w:r>
              <w:rPr>
                <w:spacing w:val="-36"/>
              </w:rPr>
              <w:t xml:space="preserve"> </w:t>
            </w:r>
            <w:r>
              <w:rPr>
                <w:spacing w:val="-6"/>
              </w:rPr>
              <w:t>分</w:t>
            </w:r>
          </w:p>
        </w:tc>
        <w:tc>
          <w:tcPr>
            <w:tcW w:w="5243" w:type="dxa"/>
            <w:vAlign w:val="top"/>
          </w:tcPr>
          <w:p>
            <w:pPr>
              <w:pStyle w:val="TableText"/>
              <w:ind w:left="112" w:right="227" w:hanging="1"/>
              <w:spacing w:before="71" w:line="281" w:lineRule="auto"/>
              <w:rPr/>
            </w:pPr>
            <w:r>
              <w:rPr>
                <w:spacing w:val="1"/>
              </w:rPr>
              <w:t>深度非遗融合创新</w:t>
            </w:r>
            <w:r>
              <w:rPr>
                <w:spacing w:val="-35"/>
              </w:rPr>
              <w:t xml:space="preserve"> </w:t>
            </w:r>
            <w:r>
              <w:rPr>
                <w:spacing w:val="1"/>
              </w:rPr>
              <w:t>6—8</w:t>
            </w:r>
            <w:r>
              <w:rPr>
                <w:spacing w:val="-37"/>
              </w:rPr>
              <w:t xml:space="preserve"> </w:t>
            </w:r>
            <w:r>
              <w:rPr>
                <w:spacing w:val="1"/>
              </w:rPr>
              <w:t>分；轻度改良 3</w:t>
            </w:r>
            <w:r>
              <w:rPr/>
              <w:t>—5分；仅印花无工艺</w:t>
            </w:r>
            <w:r>
              <w:rPr>
                <w:spacing w:val="-3"/>
              </w:rPr>
              <w:t>0-2</w:t>
            </w:r>
            <w:r>
              <w:rPr>
                <w:spacing w:val="-32"/>
              </w:rPr>
              <w:t xml:space="preserve"> </w:t>
            </w:r>
            <w:r>
              <w:rPr>
                <w:spacing w:val="-3"/>
              </w:rPr>
              <w:t>分</w:t>
            </w:r>
          </w:p>
        </w:tc>
      </w:tr>
      <w:tr>
        <w:trPr>
          <w:trHeight w:val="629" w:hRule="atLeast"/>
        </w:trPr>
        <w:tc>
          <w:tcPr>
            <w:tcW w:w="1392" w:type="dxa"/>
            <w:vAlign w:val="top"/>
            <w:vMerge w:val="continue"/>
            <w:tcBorders>
              <w:top w:val="nil"/>
              <w:bottom w:val="nil"/>
            </w:tcBorders>
          </w:tcPr>
          <w:p>
            <w:pPr>
              <w:rPr>
                <w:rFonts w:ascii="Arial"/>
                <w:sz w:val="21"/>
              </w:rPr>
            </w:pPr>
            <w:r/>
          </w:p>
        </w:tc>
        <w:tc>
          <w:tcPr>
            <w:tcW w:w="1056" w:type="dxa"/>
            <w:vAlign w:val="top"/>
            <w:vMerge w:val="continue"/>
            <w:tcBorders>
              <w:top w:val="nil"/>
              <w:bottom w:val="nil"/>
            </w:tcBorders>
          </w:tcPr>
          <w:p>
            <w:pPr>
              <w:rPr>
                <w:rFonts w:ascii="Arial"/>
                <w:sz w:val="21"/>
              </w:rPr>
            </w:pPr>
            <w:r/>
          </w:p>
        </w:tc>
        <w:tc>
          <w:tcPr>
            <w:tcW w:w="1259" w:type="dxa"/>
            <w:vAlign w:val="top"/>
          </w:tcPr>
          <w:p>
            <w:pPr>
              <w:pStyle w:val="TableText"/>
              <w:ind w:left="111" w:right="250" w:firstLine="1"/>
              <w:spacing w:before="71" w:line="281" w:lineRule="auto"/>
              <w:rPr/>
            </w:pPr>
            <w:r>
              <w:rPr>
                <w:spacing w:val="-2"/>
              </w:rPr>
              <w:t>工艺标准创</w:t>
            </w:r>
            <w:r>
              <w:rPr>
                <w:spacing w:val="-7"/>
              </w:rPr>
              <w:t>新</w:t>
            </w:r>
            <w:r>
              <w:rPr>
                <w:spacing w:val="-33"/>
              </w:rPr>
              <w:t xml:space="preserve"> </w:t>
            </w:r>
            <w:r>
              <w:rPr>
                <w:spacing w:val="-7"/>
              </w:rPr>
              <w:t>5</w:t>
            </w:r>
            <w:r>
              <w:rPr>
                <w:spacing w:val="-36"/>
              </w:rPr>
              <w:t xml:space="preserve"> </w:t>
            </w:r>
            <w:r>
              <w:rPr>
                <w:spacing w:val="-7"/>
              </w:rPr>
              <w:t>分</w:t>
            </w:r>
          </w:p>
        </w:tc>
        <w:tc>
          <w:tcPr>
            <w:tcW w:w="5243" w:type="dxa"/>
            <w:vAlign w:val="top"/>
          </w:tcPr>
          <w:p>
            <w:pPr>
              <w:pStyle w:val="TableText"/>
              <w:ind w:left="116"/>
              <w:spacing w:before="227" w:line="219" w:lineRule="auto"/>
              <w:rPr/>
            </w:pPr>
            <w:r>
              <w:rPr>
                <w:spacing w:val="1"/>
              </w:rPr>
              <w:t>古法改良、制定标准满分；无工艺创新 0-2分</w:t>
            </w:r>
          </w:p>
        </w:tc>
      </w:tr>
      <w:tr>
        <w:trPr>
          <w:trHeight w:val="629" w:hRule="atLeast"/>
        </w:trPr>
        <w:tc>
          <w:tcPr>
            <w:tcW w:w="1392" w:type="dxa"/>
            <w:vAlign w:val="top"/>
            <w:vMerge w:val="continue"/>
            <w:tcBorders>
              <w:top w:val="nil"/>
            </w:tcBorders>
          </w:tcPr>
          <w:p>
            <w:pPr>
              <w:rPr>
                <w:rFonts w:ascii="Arial"/>
                <w:sz w:val="21"/>
              </w:rPr>
            </w:pPr>
            <w:r/>
          </w:p>
        </w:tc>
        <w:tc>
          <w:tcPr>
            <w:tcW w:w="1056" w:type="dxa"/>
            <w:vAlign w:val="top"/>
            <w:vMerge w:val="continue"/>
            <w:tcBorders>
              <w:top w:val="nil"/>
            </w:tcBorders>
          </w:tcPr>
          <w:p>
            <w:pPr>
              <w:rPr>
                <w:rFonts w:ascii="Arial"/>
                <w:sz w:val="21"/>
              </w:rPr>
            </w:pPr>
            <w:r/>
          </w:p>
        </w:tc>
        <w:tc>
          <w:tcPr>
            <w:tcW w:w="1259" w:type="dxa"/>
            <w:vAlign w:val="top"/>
          </w:tcPr>
          <w:p>
            <w:pPr>
              <w:pStyle w:val="TableText"/>
              <w:ind w:left="112"/>
              <w:spacing w:before="71" w:line="219" w:lineRule="auto"/>
              <w:rPr/>
            </w:pPr>
            <w:r>
              <w:rPr>
                <w:spacing w:val="-2"/>
              </w:rPr>
              <w:t>数字商业模</w:t>
            </w:r>
          </w:p>
          <w:p>
            <w:pPr>
              <w:pStyle w:val="TableText"/>
              <w:ind w:left="114"/>
              <w:spacing w:before="98" w:line="220" w:lineRule="auto"/>
              <w:rPr/>
            </w:pPr>
            <w:r>
              <w:rPr>
                <w:spacing w:val="-5"/>
              </w:rPr>
              <w:t>式创新</w:t>
            </w:r>
            <w:r>
              <w:rPr>
                <w:spacing w:val="14"/>
              </w:rPr>
              <w:t xml:space="preserve"> </w:t>
            </w:r>
            <w:r>
              <w:rPr>
                <w:spacing w:val="-5"/>
              </w:rPr>
              <w:t>7</w:t>
            </w:r>
            <w:r>
              <w:rPr>
                <w:spacing w:val="9"/>
              </w:rPr>
              <w:t xml:space="preserve"> </w:t>
            </w:r>
            <w:r>
              <w:rPr>
                <w:spacing w:val="-5"/>
              </w:rPr>
              <w:t>分</w:t>
            </w:r>
          </w:p>
        </w:tc>
        <w:tc>
          <w:tcPr>
            <w:tcW w:w="5243" w:type="dxa"/>
            <w:vAlign w:val="top"/>
          </w:tcPr>
          <w:p>
            <w:pPr>
              <w:pStyle w:val="TableText"/>
              <w:ind w:left="113" w:right="182" w:firstLine="7"/>
              <w:spacing w:before="71" w:line="281" w:lineRule="auto"/>
              <w:rPr/>
            </w:pPr>
            <w:r>
              <w:rPr>
                <w:spacing w:val="-1"/>
              </w:rPr>
              <w:t>多渠道数字 IP、跨界落地 5-7 分；单一电商渠道</w:t>
            </w:r>
            <w:r>
              <w:rPr>
                <w:spacing w:val="10"/>
              </w:rPr>
              <w:t xml:space="preserve"> </w:t>
            </w:r>
            <w:r>
              <w:rPr>
                <w:spacing w:val="-1"/>
              </w:rPr>
              <w:t>2-4</w:t>
            </w:r>
            <w:r>
              <w:rPr>
                <w:spacing w:val="9"/>
              </w:rPr>
              <w:t xml:space="preserve"> </w:t>
            </w:r>
            <w:r>
              <w:rPr>
                <w:spacing w:val="-2"/>
              </w:rPr>
              <w:t>分；无</w:t>
            </w:r>
            <w:r>
              <w:rPr>
                <w:spacing w:val="-4"/>
              </w:rPr>
              <w:t>数字化</w:t>
            </w:r>
            <w:r>
              <w:rPr>
                <w:spacing w:val="11"/>
              </w:rPr>
              <w:t xml:space="preserve"> </w:t>
            </w:r>
            <w:r>
              <w:rPr>
                <w:spacing w:val="-4"/>
              </w:rPr>
              <w:t>0</w:t>
            </w:r>
            <w:r>
              <w:rPr>
                <w:spacing w:val="9"/>
              </w:rPr>
              <w:t xml:space="preserve"> </w:t>
            </w:r>
            <w:r>
              <w:rPr>
                <w:spacing w:val="-4"/>
              </w:rPr>
              <w:t>分</w:t>
            </w:r>
          </w:p>
        </w:tc>
      </w:tr>
      <w:tr>
        <w:trPr>
          <w:trHeight w:val="319" w:hRule="atLeast"/>
        </w:trPr>
        <w:tc>
          <w:tcPr>
            <w:tcW w:w="1392" w:type="dxa"/>
            <w:vAlign w:val="top"/>
          </w:tcPr>
          <w:p>
            <w:pPr>
              <w:pStyle w:val="TableText"/>
              <w:ind w:left="250"/>
              <w:spacing w:before="70" w:line="220" w:lineRule="auto"/>
              <w:rPr/>
            </w:pPr>
            <w:r>
              <w:rPr>
                <w:spacing w:val="-2"/>
              </w:rPr>
              <w:t>起源地指标</w:t>
            </w:r>
          </w:p>
        </w:tc>
        <w:tc>
          <w:tcPr>
            <w:tcW w:w="1056" w:type="dxa"/>
            <w:vAlign w:val="top"/>
          </w:tcPr>
          <w:p>
            <w:pPr>
              <w:pStyle w:val="TableText"/>
              <w:ind w:left="124"/>
              <w:spacing w:before="70"/>
              <w:rPr/>
            </w:pPr>
            <w:r>
              <w:rPr>
                <w:spacing w:val="-10"/>
              </w:rPr>
              <w:t>10</w:t>
            </w:r>
          </w:p>
        </w:tc>
        <w:tc>
          <w:tcPr>
            <w:tcW w:w="1259" w:type="dxa"/>
            <w:vAlign w:val="top"/>
          </w:tcPr>
          <w:p>
            <w:pPr>
              <w:pStyle w:val="TableText"/>
              <w:ind w:left="111"/>
              <w:spacing w:before="70" w:line="220" w:lineRule="auto"/>
              <w:rPr/>
            </w:pPr>
            <w:r>
              <w:rPr>
                <w:spacing w:val="-2"/>
              </w:rPr>
              <w:t>起源地域关</w:t>
            </w:r>
          </w:p>
        </w:tc>
        <w:tc>
          <w:tcPr>
            <w:tcW w:w="5243" w:type="dxa"/>
            <w:vAlign w:val="top"/>
          </w:tcPr>
          <w:p>
            <w:pPr>
              <w:pStyle w:val="TableText"/>
              <w:ind w:left="113"/>
              <w:spacing w:before="70" w:line="219" w:lineRule="auto"/>
              <w:rPr/>
            </w:pPr>
            <w:r>
              <w:rPr>
                <w:spacing w:val="1"/>
              </w:rPr>
              <w:t>完整地方志、测绘范围证明满分；佐证材料不全</w:t>
            </w:r>
            <w:r>
              <w:rPr>
                <w:spacing w:val="-35"/>
              </w:rPr>
              <w:t xml:space="preserve"> </w:t>
            </w:r>
            <w:r>
              <w:rPr>
                <w:spacing w:val="1"/>
              </w:rPr>
              <w:t>0-3分</w:t>
            </w:r>
          </w:p>
        </w:tc>
      </w:tr>
    </w:tbl>
    <w:p>
      <w:pPr>
        <w:pStyle w:val="BodyText"/>
        <w:rPr/>
      </w:pPr>
      <w:r/>
    </w:p>
    <w:p>
      <w:pPr>
        <w:sectPr>
          <w:headerReference w:type="default" r:id="rId4"/>
          <w:footerReference w:type="default" r:id="rId18"/>
          <w:pgSz w:w="11906" w:h="16839"/>
          <w:pgMar w:top="400" w:right="1475" w:bottom="1001" w:left="1475" w:header="0" w:footer="835" w:gutter="0"/>
        </w:sectPr>
        <w:rPr/>
      </w:pPr>
    </w:p>
    <w:p>
      <w:pPr>
        <w:spacing w:before="19"/>
        <w:rPr/>
      </w:pPr>
      <w:r/>
    </w:p>
    <w:p>
      <w:pPr>
        <w:spacing w:before="19"/>
        <w:rPr/>
      </w:pPr>
      <w:r/>
    </w:p>
    <w:p>
      <w:pPr>
        <w:spacing w:before="18"/>
        <w:rPr/>
      </w:pPr>
      <w:r/>
    </w:p>
    <w:p>
      <w:pPr>
        <w:spacing w:before="18"/>
        <w:rPr/>
      </w:pPr>
      <w:r/>
    </w:p>
    <w:tbl>
      <w:tblPr>
        <w:tblStyle w:val="TableNormal"/>
        <w:tblW w:w="895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392"/>
        <w:gridCol w:w="1056"/>
        <w:gridCol w:w="1259"/>
        <w:gridCol w:w="5243"/>
      </w:tblGrid>
      <w:tr>
        <w:trPr>
          <w:trHeight w:val="321" w:hRule="atLeast"/>
        </w:trPr>
        <w:tc>
          <w:tcPr>
            <w:tcW w:w="1392" w:type="dxa"/>
            <w:vAlign w:val="top"/>
            <w:vMerge w:val="restart"/>
            <w:tcBorders>
              <w:bottom w:val="nil"/>
            </w:tcBorders>
          </w:tcPr>
          <w:p>
            <w:pPr>
              <w:rPr>
                <w:rFonts w:ascii="Arial"/>
                <w:sz w:val="21"/>
              </w:rPr>
            </w:pPr>
            <w:r/>
          </w:p>
        </w:tc>
        <w:tc>
          <w:tcPr>
            <w:tcW w:w="1056" w:type="dxa"/>
            <w:vAlign w:val="top"/>
            <w:vMerge w:val="restart"/>
            <w:tcBorders>
              <w:bottom w:val="nil"/>
            </w:tcBorders>
          </w:tcPr>
          <w:p>
            <w:pPr>
              <w:rPr>
                <w:rFonts w:ascii="Arial"/>
                <w:sz w:val="21"/>
              </w:rPr>
            </w:pPr>
            <w:r/>
          </w:p>
        </w:tc>
        <w:tc>
          <w:tcPr>
            <w:tcW w:w="1259" w:type="dxa"/>
            <w:vAlign w:val="top"/>
          </w:tcPr>
          <w:p>
            <w:pPr>
              <w:pStyle w:val="TableText"/>
              <w:ind w:left="111"/>
              <w:spacing w:before="71" w:line="220" w:lineRule="auto"/>
              <w:rPr/>
            </w:pPr>
            <w:r>
              <w:rPr>
                <w:spacing w:val="-5"/>
              </w:rPr>
              <w:t>联性</w:t>
            </w:r>
            <w:r>
              <w:rPr>
                <w:spacing w:val="12"/>
              </w:rPr>
              <w:t xml:space="preserve"> </w:t>
            </w:r>
            <w:r>
              <w:rPr>
                <w:spacing w:val="-5"/>
              </w:rPr>
              <w:t>5</w:t>
            </w:r>
            <w:r>
              <w:rPr>
                <w:spacing w:val="9"/>
              </w:rPr>
              <w:t xml:space="preserve"> </w:t>
            </w:r>
            <w:r>
              <w:rPr>
                <w:spacing w:val="-5"/>
              </w:rPr>
              <w:t>分</w:t>
            </w:r>
          </w:p>
        </w:tc>
        <w:tc>
          <w:tcPr>
            <w:tcW w:w="5243" w:type="dxa"/>
            <w:vAlign w:val="top"/>
          </w:tcPr>
          <w:p>
            <w:pPr>
              <w:rPr>
                <w:rFonts w:ascii="Arial"/>
                <w:sz w:val="21"/>
              </w:rPr>
            </w:pPr>
            <w:r/>
          </w:p>
        </w:tc>
      </w:tr>
      <w:tr>
        <w:trPr>
          <w:trHeight w:val="628" w:hRule="atLeast"/>
        </w:trPr>
        <w:tc>
          <w:tcPr>
            <w:tcW w:w="1392" w:type="dxa"/>
            <w:vAlign w:val="top"/>
            <w:vMerge w:val="continue"/>
            <w:tcBorders>
              <w:top w:val="nil"/>
            </w:tcBorders>
          </w:tcPr>
          <w:p>
            <w:pPr>
              <w:rPr>
                <w:rFonts w:ascii="Arial"/>
                <w:sz w:val="21"/>
              </w:rPr>
            </w:pPr>
            <w:r/>
          </w:p>
        </w:tc>
        <w:tc>
          <w:tcPr>
            <w:tcW w:w="1056" w:type="dxa"/>
            <w:vAlign w:val="top"/>
            <w:vMerge w:val="continue"/>
            <w:tcBorders>
              <w:top w:val="nil"/>
            </w:tcBorders>
          </w:tcPr>
          <w:p>
            <w:pPr>
              <w:rPr>
                <w:rFonts w:ascii="Arial"/>
                <w:sz w:val="21"/>
              </w:rPr>
            </w:pPr>
            <w:r/>
          </w:p>
        </w:tc>
        <w:tc>
          <w:tcPr>
            <w:tcW w:w="1259" w:type="dxa"/>
            <w:vAlign w:val="top"/>
          </w:tcPr>
          <w:p>
            <w:pPr>
              <w:pStyle w:val="TableText"/>
              <w:ind w:left="112" w:right="250"/>
              <w:spacing w:before="68" w:line="282" w:lineRule="auto"/>
              <w:rPr/>
            </w:pPr>
            <w:r>
              <w:rPr>
                <w:spacing w:val="-2"/>
              </w:rPr>
              <w:t>文化独特辨</w:t>
            </w:r>
            <w:r>
              <w:rPr>
                <w:spacing w:val="-5"/>
              </w:rPr>
              <w:t>识度</w:t>
            </w:r>
            <w:r>
              <w:rPr>
                <w:spacing w:val="-34"/>
              </w:rPr>
              <w:t xml:space="preserve"> </w:t>
            </w:r>
            <w:r>
              <w:rPr>
                <w:spacing w:val="-5"/>
              </w:rPr>
              <w:t>5</w:t>
            </w:r>
            <w:r>
              <w:rPr>
                <w:spacing w:val="-37"/>
              </w:rPr>
              <w:t xml:space="preserve"> </w:t>
            </w:r>
            <w:r>
              <w:rPr>
                <w:spacing w:val="-5"/>
              </w:rPr>
              <w:t>分</w:t>
            </w:r>
          </w:p>
        </w:tc>
        <w:tc>
          <w:tcPr>
            <w:tcW w:w="5243" w:type="dxa"/>
            <w:vAlign w:val="top"/>
          </w:tcPr>
          <w:p>
            <w:pPr>
              <w:pStyle w:val="TableText"/>
              <w:ind w:left="111"/>
              <w:spacing w:before="223" w:line="219" w:lineRule="auto"/>
              <w:rPr/>
            </w:pPr>
            <w:r>
              <w:rPr/>
              <w:t>独有技艺、专属文化叙事满分；同质化严重 0-3 分</w:t>
            </w:r>
          </w:p>
        </w:tc>
      </w:tr>
      <w:tr>
        <w:trPr>
          <w:trHeight w:val="628" w:hRule="atLeast"/>
        </w:trPr>
        <w:tc>
          <w:tcPr>
            <w:tcW w:w="1392" w:type="dxa"/>
            <w:vAlign w:val="top"/>
            <w:vMerge w:val="restart"/>
            <w:tcBorders>
              <w:bottom w:val="nil"/>
            </w:tcBorders>
          </w:tcPr>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355"/>
              <w:spacing w:before="58" w:line="219" w:lineRule="auto"/>
              <w:rPr/>
            </w:pPr>
            <w:r>
              <w:rPr>
                <w:spacing w:val="-6"/>
              </w:rPr>
              <w:t>品牌指标</w:t>
            </w:r>
          </w:p>
        </w:tc>
        <w:tc>
          <w:tcPr>
            <w:tcW w:w="1056" w:type="dxa"/>
            <w:vAlign w:val="top"/>
            <w:vMerge w:val="restart"/>
            <w:tcBorders>
              <w:bottom w:val="nil"/>
            </w:tcBorders>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24"/>
              <w:spacing w:before="58"/>
              <w:rPr/>
            </w:pPr>
            <w:r>
              <w:rPr>
                <w:spacing w:val="-10"/>
              </w:rPr>
              <w:t>15</w:t>
            </w:r>
          </w:p>
        </w:tc>
        <w:tc>
          <w:tcPr>
            <w:tcW w:w="1259" w:type="dxa"/>
            <w:vAlign w:val="top"/>
          </w:tcPr>
          <w:p>
            <w:pPr>
              <w:pStyle w:val="TableText"/>
              <w:ind w:left="114" w:right="250" w:firstLine="11"/>
              <w:spacing w:before="68" w:line="282" w:lineRule="auto"/>
              <w:rPr/>
            </w:pPr>
            <w:r>
              <w:rPr>
                <w:spacing w:val="-5"/>
              </w:rPr>
              <w:t>品牌影响力</w:t>
            </w:r>
            <w:r>
              <w:rPr>
                <w:spacing w:val="-6"/>
              </w:rPr>
              <w:t>5</w:t>
            </w:r>
            <w:r>
              <w:rPr>
                <w:spacing w:val="9"/>
              </w:rPr>
              <w:t xml:space="preserve"> </w:t>
            </w:r>
            <w:r>
              <w:rPr>
                <w:spacing w:val="-6"/>
              </w:rPr>
              <w:t>分</w:t>
            </w:r>
          </w:p>
        </w:tc>
        <w:tc>
          <w:tcPr>
            <w:tcW w:w="5243" w:type="dxa"/>
            <w:vAlign w:val="top"/>
          </w:tcPr>
          <w:p>
            <w:pPr>
              <w:pStyle w:val="TableText"/>
              <w:ind w:left="112"/>
              <w:spacing w:before="223" w:line="219" w:lineRule="auto"/>
              <w:rPr/>
            </w:pPr>
            <w:r>
              <w:rPr>
                <w:spacing w:val="1"/>
              </w:rPr>
              <w:t>有关认证、国家级媒体报道满分；无行业荣誉 0-2分</w:t>
            </w:r>
          </w:p>
        </w:tc>
      </w:tr>
      <w:tr>
        <w:trPr>
          <w:trHeight w:val="317" w:hRule="atLeast"/>
        </w:trPr>
        <w:tc>
          <w:tcPr>
            <w:tcW w:w="1392" w:type="dxa"/>
            <w:vAlign w:val="top"/>
            <w:vMerge w:val="continue"/>
            <w:tcBorders>
              <w:top w:val="nil"/>
              <w:bottom w:val="nil"/>
            </w:tcBorders>
          </w:tcPr>
          <w:p>
            <w:pPr>
              <w:rPr>
                <w:rFonts w:ascii="Arial"/>
                <w:sz w:val="21"/>
              </w:rPr>
            </w:pPr>
            <w:r/>
          </w:p>
        </w:tc>
        <w:tc>
          <w:tcPr>
            <w:tcW w:w="1056" w:type="dxa"/>
            <w:vAlign w:val="top"/>
            <w:vMerge w:val="continue"/>
            <w:tcBorders>
              <w:top w:val="nil"/>
              <w:bottom w:val="nil"/>
            </w:tcBorders>
          </w:tcPr>
          <w:p>
            <w:pPr>
              <w:rPr>
                <w:rFonts w:ascii="Arial"/>
                <w:sz w:val="21"/>
              </w:rPr>
            </w:pPr>
            <w:r/>
          </w:p>
        </w:tc>
        <w:tc>
          <w:tcPr>
            <w:tcW w:w="1259" w:type="dxa"/>
            <w:vAlign w:val="top"/>
          </w:tcPr>
          <w:p>
            <w:pPr>
              <w:pStyle w:val="TableText"/>
              <w:ind w:left="112"/>
              <w:spacing w:before="68" w:line="218" w:lineRule="auto"/>
              <w:rPr/>
            </w:pPr>
            <w:r>
              <w:rPr>
                <w:spacing w:val="2"/>
              </w:rPr>
              <w:t>社会价值</w:t>
            </w:r>
            <w:r>
              <w:rPr>
                <w:spacing w:val="-49"/>
              </w:rPr>
              <w:t xml:space="preserve"> </w:t>
            </w:r>
            <w:r>
              <w:rPr>
                <w:spacing w:val="2"/>
              </w:rPr>
              <w:t>5分</w:t>
            </w:r>
          </w:p>
        </w:tc>
        <w:tc>
          <w:tcPr>
            <w:tcW w:w="5243" w:type="dxa"/>
            <w:vAlign w:val="top"/>
          </w:tcPr>
          <w:p>
            <w:pPr>
              <w:pStyle w:val="TableText"/>
              <w:ind w:left="111"/>
              <w:spacing w:before="68" w:line="219" w:lineRule="auto"/>
              <w:rPr/>
            </w:pPr>
            <w:r>
              <w:rPr>
                <w:spacing w:val="-1"/>
              </w:rPr>
              <w:t>创新产品营收高、带动就业、公益普及满分；无社会贡献 0-2分</w:t>
            </w:r>
          </w:p>
        </w:tc>
      </w:tr>
      <w:tr>
        <w:trPr>
          <w:trHeight w:val="1735" w:hRule="atLeast"/>
        </w:trPr>
        <w:tc>
          <w:tcPr>
            <w:tcW w:w="1392" w:type="dxa"/>
            <w:vAlign w:val="top"/>
            <w:vMerge w:val="continue"/>
            <w:tcBorders>
              <w:top w:val="nil"/>
            </w:tcBorders>
          </w:tcPr>
          <w:p>
            <w:pPr>
              <w:rPr>
                <w:rFonts w:ascii="Arial"/>
                <w:sz w:val="21"/>
              </w:rPr>
            </w:pPr>
            <w:r/>
          </w:p>
        </w:tc>
        <w:tc>
          <w:tcPr>
            <w:tcW w:w="1056" w:type="dxa"/>
            <w:vAlign w:val="top"/>
            <w:vMerge w:val="continue"/>
            <w:tcBorders>
              <w:top w:val="nil"/>
            </w:tcBorders>
          </w:tcPr>
          <w:p>
            <w:pPr>
              <w:rPr>
                <w:rFonts w:ascii="Arial"/>
                <w:sz w:val="21"/>
              </w:rPr>
            </w:pPr>
            <w:r/>
          </w:p>
        </w:tc>
        <w:tc>
          <w:tcPr>
            <w:tcW w:w="1259" w:type="dxa"/>
            <w:vAlign w:val="top"/>
          </w:tcPr>
          <w:p>
            <w:pPr>
              <w:spacing w:line="356" w:lineRule="auto"/>
              <w:rPr>
                <w:rFonts w:ascii="Arial"/>
                <w:sz w:val="21"/>
              </w:rPr>
            </w:pPr>
            <w:r/>
          </w:p>
          <w:p>
            <w:pPr>
              <w:spacing w:line="357" w:lineRule="auto"/>
              <w:rPr>
                <w:rFonts w:ascii="Arial"/>
                <w:sz w:val="21"/>
              </w:rPr>
            </w:pPr>
            <w:r/>
          </w:p>
          <w:p>
            <w:pPr>
              <w:pStyle w:val="TableText"/>
              <w:ind w:left="112"/>
              <w:spacing w:before="59" w:line="219" w:lineRule="auto"/>
              <w:rPr/>
            </w:pPr>
            <w:r>
              <w:rPr>
                <w:spacing w:val="2"/>
              </w:rPr>
              <w:t>可持续性</w:t>
            </w:r>
            <w:r>
              <w:rPr>
                <w:spacing w:val="-49"/>
              </w:rPr>
              <w:t xml:space="preserve"> </w:t>
            </w:r>
            <w:r>
              <w:rPr>
                <w:spacing w:val="2"/>
              </w:rPr>
              <w:t>5分</w:t>
            </w:r>
          </w:p>
        </w:tc>
        <w:tc>
          <w:tcPr>
            <w:tcW w:w="5243" w:type="dxa"/>
            <w:vAlign w:val="top"/>
          </w:tcPr>
          <w:p>
            <w:pPr>
              <w:spacing w:line="248" w:lineRule="auto"/>
              <w:rPr>
                <w:rFonts w:ascii="Arial"/>
                <w:sz w:val="21"/>
              </w:rPr>
            </w:pPr>
            <w:r/>
          </w:p>
          <w:p>
            <w:pPr>
              <w:pStyle w:val="TableText"/>
              <w:ind w:left="111" w:right="107" w:firstLine="4"/>
              <w:spacing w:before="58" w:line="321" w:lineRule="auto"/>
              <w:jc w:val="both"/>
              <w:rPr/>
            </w:pPr>
            <w:r>
              <w:rPr/>
              <w:t>3-5 年品牌发展规划、持续研发 / 文</w:t>
            </w:r>
            <w:r>
              <w:rPr>
                <w:spacing w:val="-1"/>
              </w:rPr>
              <w:t>化挖掘经费投入、创新迭</w:t>
            </w:r>
            <w:r>
              <w:rPr>
                <w:spacing w:val="-4"/>
              </w:rPr>
              <w:t>代机制清晰，受众认可度高满分；品牌发展规划、持续研发 / 文</w:t>
            </w:r>
            <w:r>
              <w:rPr>
                <w:spacing w:val="-2"/>
              </w:rPr>
              <w:t>化挖掘经费投入、创新迭代机制一般，受众认可度一般</w:t>
            </w:r>
            <w:r>
              <w:rPr>
                <w:spacing w:val="-20"/>
              </w:rPr>
              <w:t xml:space="preserve"> </w:t>
            </w:r>
            <w:r>
              <w:rPr>
                <w:spacing w:val="-2"/>
              </w:rPr>
              <w:t>3</w:t>
            </w:r>
            <w:r>
              <w:rPr>
                <w:spacing w:val="-36"/>
              </w:rPr>
              <w:t xml:space="preserve"> </w:t>
            </w:r>
            <w:r>
              <w:rPr>
                <w:spacing w:val="-2"/>
              </w:rPr>
              <w:t>分；无</w:t>
            </w:r>
            <w:r>
              <w:rPr>
                <w:spacing w:val="1"/>
              </w:rPr>
              <w:t>品牌发展规划、经费投入，无创新迭代，尚无受众</w:t>
            </w:r>
            <w:r>
              <w:rPr>
                <w:spacing w:val="-34"/>
              </w:rPr>
              <w:t xml:space="preserve"> </w:t>
            </w:r>
            <w:r>
              <w:rPr>
                <w:spacing w:val="1"/>
              </w:rPr>
              <w:t>0-2分</w:t>
            </w:r>
          </w:p>
        </w:tc>
      </w:tr>
    </w:tbl>
    <w:p>
      <w:pPr>
        <w:pStyle w:val="BodyText"/>
        <w:rPr/>
      </w:pPr>
      <w:r/>
    </w:p>
    <w:p>
      <w:pPr>
        <w:sectPr>
          <w:footerReference w:type="default" r:id="rId19"/>
          <w:pgSz w:w="11906" w:h="16839"/>
          <w:pgMar w:top="400" w:right="1475" w:bottom="1001" w:left="1475" w:header="0" w:footer="836" w:gutter="0"/>
        </w:sectPr>
        <w:rPr/>
      </w:pP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ind w:left="2689"/>
        <w:spacing w:before="65" w:line="229" w:lineRule="auto"/>
        <w:outlineLvl w:val="0"/>
        <w:rPr>
          <w:rFonts w:ascii="SimHei" w:hAnsi="SimHei" w:eastAsia="SimHei" w:cs="SimHei"/>
          <w:sz w:val="20"/>
          <w:szCs w:val="20"/>
        </w:rPr>
      </w:pPr>
      <w:bookmarkStart w:name="bookmark15" w:id="18"/>
      <w:bookmarkEnd w:id="18"/>
      <w:r>
        <w:rPr>
          <w:rFonts w:ascii="SimHei" w:hAnsi="SimHei" w:eastAsia="SimHei" w:cs="SimHei"/>
          <w:sz w:val="20"/>
          <w:szCs w:val="20"/>
          <w:spacing w:val="8"/>
        </w:rPr>
        <w:t>附录</w:t>
      </w:r>
      <w:r>
        <w:rPr>
          <w:rFonts w:ascii="SimHei" w:hAnsi="SimHei" w:eastAsia="SimHei" w:cs="SimHei"/>
          <w:sz w:val="20"/>
          <w:szCs w:val="20"/>
          <w:spacing w:val="8"/>
        </w:rPr>
        <w:t xml:space="preserve"> </w:t>
      </w:r>
      <w:r>
        <w:rPr>
          <w:rFonts w:ascii="Times New Roman" w:hAnsi="Times New Roman" w:eastAsia="Times New Roman" w:cs="Times New Roman"/>
          <w:sz w:val="20"/>
          <w:szCs w:val="20"/>
          <w:spacing w:val="8"/>
        </w:rPr>
        <w:t>C</w:t>
      </w:r>
      <w:r>
        <w:rPr>
          <w:rFonts w:ascii="SimHei" w:hAnsi="SimHei" w:eastAsia="SimHei" w:cs="SimHei"/>
          <w:sz w:val="20"/>
          <w:szCs w:val="20"/>
          <w:spacing w:val="8"/>
        </w:rPr>
        <w:t>（规范性）起源创始人申报书</w:t>
      </w:r>
    </w:p>
    <w:p>
      <w:pPr>
        <w:spacing w:before="94"/>
        <w:rPr/>
      </w:pPr>
      <w:r/>
    </w:p>
    <w:p>
      <w:pPr>
        <w:spacing w:before="94"/>
        <w:rPr/>
      </w:pPr>
      <w:r/>
    </w:p>
    <w:tbl>
      <w:tblPr>
        <w:tblStyle w:val="TableNormal"/>
        <w:tblW w:w="873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62"/>
        <w:gridCol w:w="785"/>
        <w:gridCol w:w="824"/>
        <w:gridCol w:w="1026"/>
        <w:gridCol w:w="806"/>
        <w:gridCol w:w="853"/>
        <w:gridCol w:w="1454"/>
        <w:gridCol w:w="929"/>
      </w:tblGrid>
      <w:tr>
        <w:trPr>
          <w:trHeight w:val="314" w:hRule="atLeast"/>
        </w:trPr>
        <w:tc>
          <w:tcPr>
            <w:tcW w:w="2062" w:type="dxa"/>
            <w:vAlign w:val="top"/>
          </w:tcPr>
          <w:p>
            <w:pPr>
              <w:pStyle w:val="TableText"/>
              <w:ind w:left="689"/>
              <w:spacing w:before="65" w:line="219" w:lineRule="auto"/>
              <w:rPr/>
            </w:pPr>
            <w:r>
              <w:rPr>
                <w:spacing w:val="-6"/>
              </w:rPr>
              <w:t>品牌名称</w:t>
            </w:r>
          </w:p>
        </w:tc>
        <w:tc>
          <w:tcPr>
            <w:tcW w:w="6677" w:type="dxa"/>
            <w:vAlign w:val="top"/>
            <w:gridSpan w:val="7"/>
          </w:tcPr>
          <w:p>
            <w:pPr>
              <w:rPr>
                <w:rFonts w:ascii="Arial"/>
                <w:sz w:val="21"/>
              </w:rPr>
            </w:pPr>
            <w:r/>
          </w:p>
        </w:tc>
      </w:tr>
      <w:tr>
        <w:trPr>
          <w:trHeight w:val="380" w:hRule="atLeast"/>
        </w:trPr>
        <w:tc>
          <w:tcPr>
            <w:tcW w:w="2062" w:type="dxa"/>
            <w:vAlign w:val="top"/>
          </w:tcPr>
          <w:p>
            <w:pPr>
              <w:pStyle w:val="TableText"/>
              <w:ind w:left="677"/>
              <w:spacing w:before="96" w:line="220" w:lineRule="auto"/>
              <w:rPr/>
            </w:pPr>
            <w:r>
              <w:rPr>
                <w:spacing w:val="-3"/>
              </w:rPr>
              <w:t>非遗级别</w:t>
            </w:r>
          </w:p>
        </w:tc>
        <w:tc>
          <w:tcPr>
            <w:tcW w:w="6677" w:type="dxa"/>
            <w:vAlign w:val="top"/>
            <w:gridSpan w:val="7"/>
          </w:tcPr>
          <w:p>
            <w:pPr>
              <w:pStyle w:val="TableText"/>
              <w:ind w:left="1906"/>
              <w:spacing w:before="56" w:line="227" w:lineRule="auto"/>
              <w:rPr/>
            </w:pPr>
            <w:r>
              <w:rPr>
                <w:position w:val="-3"/>
              </w:rPr>
              <w:drawing>
                <wp:inline distT="0" distB="0" distL="0" distR="0">
                  <wp:extent cx="92240" cy="126644"/>
                  <wp:effectExtent l="0" t="0" r="0" b="0"/>
                  <wp:docPr id="12" name="IM 12"/>
                  <wp:cNvGraphicFramePr/>
                  <a:graphic>
                    <a:graphicData uri="http://schemas.openxmlformats.org/drawingml/2006/picture">
                      <pic:pic>
                        <pic:nvPicPr>
                          <pic:cNvPr id="12" name="IM 12"/>
                          <pic:cNvPicPr/>
                        </pic:nvPicPr>
                        <pic:blipFill>
                          <a:blip r:embed="rId21"/>
                          <a:stretch>
                            <a:fillRect/>
                          </a:stretch>
                        </pic:blipFill>
                        <pic:spPr>
                          <a:xfrm rot="0">
                            <a:off x="0" y="0"/>
                            <a:ext cx="92240" cy="126644"/>
                          </a:xfrm>
                          <a:prstGeom prst="rect">
                            <a:avLst/>
                          </a:prstGeom>
                        </pic:spPr>
                      </pic:pic>
                    </a:graphicData>
                  </a:graphic>
                </wp:inline>
              </w:drawing>
            </w:r>
            <w:r>
              <w:rPr>
                <w:spacing w:val="1"/>
              </w:rPr>
              <w:t>县区级 </w:t>
            </w:r>
            <w:r>
              <w:rPr>
                <w:position w:val="-3"/>
              </w:rPr>
              <w:drawing>
                <wp:inline distT="0" distB="0" distL="0" distR="0">
                  <wp:extent cx="92240" cy="126644"/>
                  <wp:effectExtent l="0" t="0" r="0" b="0"/>
                  <wp:docPr id="14" name="IM 14"/>
                  <wp:cNvGraphicFramePr/>
                  <a:graphic>
                    <a:graphicData uri="http://schemas.openxmlformats.org/drawingml/2006/picture">
                      <pic:pic>
                        <pic:nvPicPr>
                          <pic:cNvPr id="14" name="IM 14"/>
                          <pic:cNvPicPr/>
                        </pic:nvPicPr>
                        <pic:blipFill>
                          <a:blip r:embed="rId22"/>
                          <a:stretch>
                            <a:fillRect/>
                          </a:stretch>
                        </pic:blipFill>
                        <pic:spPr>
                          <a:xfrm rot="0">
                            <a:off x="0" y="0"/>
                            <a:ext cx="92240" cy="126644"/>
                          </a:xfrm>
                          <a:prstGeom prst="rect">
                            <a:avLst/>
                          </a:prstGeom>
                        </pic:spPr>
                      </pic:pic>
                    </a:graphicData>
                  </a:graphic>
                </wp:inline>
              </w:drawing>
            </w:r>
            <w:r>
              <w:rPr>
                <w:spacing w:val="1"/>
              </w:rPr>
              <w:t>地市基</w:t>
            </w:r>
            <w:r>
              <w:rPr>
                <w:spacing w:val="16"/>
              </w:rPr>
              <w:t xml:space="preserve"> </w:t>
            </w:r>
            <w:r>
              <w:rPr>
                <w:position w:val="-3"/>
              </w:rPr>
              <w:drawing>
                <wp:inline distT="0" distB="0" distL="0" distR="0">
                  <wp:extent cx="92240" cy="126644"/>
                  <wp:effectExtent l="0" t="0" r="0" b="0"/>
                  <wp:docPr id="16" name="IM 16"/>
                  <wp:cNvGraphicFramePr/>
                  <a:graphic>
                    <a:graphicData uri="http://schemas.openxmlformats.org/drawingml/2006/picture">
                      <pic:pic>
                        <pic:nvPicPr>
                          <pic:cNvPr id="16" name="IM 16"/>
                          <pic:cNvPicPr/>
                        </pic:nvPicPr>
                        <pic:blipFill>
                          <a:blip r:embed="rId23"/>
                          <a:stretch>
                            <a:fillRect/>
                          </a:stretch>
                        </pic:blipFill>
                        <pic:spPr>
                          <a:xfrm rot="0">
                            <a:off x="0" y="0"/>
                            <a:ext cx="92240" cy="126644"/>
                          </a:xfrm>
                          <a:prstGeom prst="rect">
                            <a:avLst/>
                          </a:prstGeom>
                        </pic:spPr>
                      </pic:pic>
                    </a:graphicData>
                  </a:graphic>
                </wp:inline>
              </w:drawing>
            </w:r>
            <w:r>
              <w:rPr>
                <w:spacing w:val="1"/>
              </w:rPr>
              <w:t>省级</w:t>
            </w:r>
            <w:r>
              <w:rPr>
                <w:spacing w:val="14"/>
              </w:rPr>
              <w:t xml:space="preserve"> </w:t>
            </w:r>
            <w:r>
              <w:rPr>
                <w:position w:val="-3"/>
              </w:rPr>
              <w:drawing>
                <wp:inline distT="0" distB="0" distL="0" distR="0">
                  <wp:extent cx="92240" cy="126644"/>
                  <wp:effectExtent l="0" t="0" r="0" b="0"/>
                  <wp:docPr id="18" name="IM 18"/>
                  <wp:cNvGraphicFramePr/>
                  <a:graphic>
                    <a:graphicData uri="http://schemas.openxmlformats.org/drawingml/2006/picture">
                      <pic:pic>
                        <pic:nvPicPr>
                          <pic:cNvPr id="18" name="IM 18"/>
                          <pic:cNvPicPr/>
                        </pic:nvPicPr>
                        <pic:blipFill>
                          <a:blip r:embed="rId24"/>
                          <a:stretch>
                            <a:fillRect/>
                          </a:stretch>
                        </pic:blipFill>
                        <pic:spPr>
                          <a:xfrm rot="0">
                            <a:off x="0" y="0"/>
                            <a:ext cx="92240" cy="126644"/>
                          </a:xfrm>
                          <a:prstGeom prst="rect">
                            <a:avLst/>
                          </a:prstGeom>
                        </pic:spPr>
                      </pic:pic>
                    </a:graphicData>
                  </a:graphic>
                </wp:inline>
              </w:drawing>
            </w:r>
            <w:r>
              <w:rPr>
                <w:spacing w:val="1"/>
              </w:rPr>
              <w:t>国家级</w:t>
            </w:r>
          </w:p>
        </w:tc>
      </w:tr>
      <w:tr>
        <w:trPr>
          <w:trHeight w:val="312" w:hRule="atLeast"/>
        </w:trPr>
        <w:tc>
          <w:tcPr>
            <w:tcW w:w="2062" w:type="dxa"/>
            <w:vAlign w:val="top"/>
          </w:tcPr>
          <w:p>
            <w:pPr>
              <w:pStyle w:val="TableText"/>
              <w:ind w:left="246"/>
              <w:spacing w:before="64" w:line="219" w:lineRule="auto"/>
              <w:rPr/>
            </w:pPr>
            <w:r>
              <w:rPr>
                <w:spacing w:val="-4"/>
              </w:rPr>
              <w:t>申报单位（申报人）</w:t>
            </w:r>
          </w:p>
        </w:tc>
        <w:tc>
          <w:tcPr>
            <w:tcW w:w="2635" w:type="dxa"/>
            <w:vAlign w:val="top"/>
            <w:gridSpan w:val="3"/>
          </w:tcPr>
          <w:p>
            <w:pPr>
              <w:rPr>
                <w:rFonts w:ascii="Arial"/>
                <w:sz w:val="21"/>
              </w:rPr>
            </w:pPr>
            <w:r/>
          </w:p>
        </w:tc>
        <w:tc>
          <w:tcPr>
            <w:tcW w:w="1659" w:type="dxa"/>
            <w:vAlign w:val="top"/>
            <w:gridSpan w:val="2"/>
          </w:tcPr>
          <w:p>
            <w:pPr>
              <w:pStyle w:val="TableText"/>
              <w:ind w:left="387"/>
              <w:spacing w:before="64" w:line="220" w:lineRule="auto"/>
              <w:rPr/>
            </w:pPr>
            <w:r>
              <w:rPr>
                <w:spacing w:val="-2"/>
              </w:rPr>
              <w:t>项目所在地</w:t>
            </w:r>
          </w:p>
        </w:tc>
        <w:tc>
          <w:tcPr>
            <w:tcW w:w="2383" w:type="dxa"/>
            <w:vAlign w:val="top"/>
            <w:gridSpan w:val="2"/>
          </w:tcPr>
          <w:p>
            <w:pPr>
              <w:rPr>
                <w:rFonts w:ascii="Arial"/>
                <w:sz w:val="21"/>
              </w:rPr>
            </w:pPr>
            <w:r/>
          </w:p>
        </w:tc>
      </w:tr>
      <w:tr>
        <w:trPr>
          <w:trHeight w:val="312" w:hRule="atLeast"/>
        </w:trPr>
        <w:tc>
          <w:tcPr>
            <w:tcW w:w="2062" w:type="dxa"/>
            <w:vAlign w:val="top"/>
          </w:tcPr>
          <w:p>
            <w:pPr>
              <w:pStyle w:val="TableText"/>
              <w:ind w:left="225"/>
              <w:spacing w:before="64" w:line="219" w:lineRule="auto"/>
              <w:rPr/>
            </w:pPr>
            <w:r>
              <w:rPr>
                <w:spacing w:val="-1"/>
              </w:rPr>
              <w:t>单位（申报人）地址</w:t>
            </w:r>
          </w:p>
        </w:tc>
        <w:tc>
          <w:tcPr>
            <w:tcW w:w="2635" w:type="dxa"/>
            <w:vAlign w:val="top"/>
            <w:gridSpan w:val="3"/>
          </w:tcPr>
          <w:p>
            <w:pPr>
              <w:rPr>
                <w:rFonts w:ascii="Arial"/>
                <w:sz w:val="21"/>
              </w:rPr>
            </w:pPr>
            <w:r/>
          </w:p>
        </w:tc>
        <w:tc>
          <w:tcPr>
            <w:tcW w:w="1659" w:type="dxa"/>
            <w:vAlign w:val="top"/>
            <w:gridSpan w:val="2"/>
          </w:tcPr>
          <w:p>
            <w:pPr>
              <w:pStyle w:val="TableText"/>
              <w:ind w:left="498"/>
              <w:spacing w:before="64" w:line="219" w:lineRule="auto"/>
              <w:rPr/>
            </w:pPr>
            <w:r>
              <w:rPr>
                <w:spacing w:val="-8"/>
              </w:rPr>
              <w:t>申报时间</w:t>
            </w:r>
          </w:p>
        </w:tc>
        <w:tc>
          <w:tcPr>
            <w:tcW w:w="2383" w:type="dxa"/>
            <w:vAlign w:val="top"/>
            <w:gridSpan w:val="2"/>
          </w:tcPr>
          <w:p>
            <w:pPr>
              <w:rPr>
                <w:rFonts w:ascii="Arial"/>
                <w:sz w:val="21"/>
              </w:rPr>
            </w:pPr>
            <w:r/>
          </w:p>
        </w:tc>
      </w:tr>
      <w:tr>
        <w:trPr>
          <w:trHeight w:val="312" w:hRule="atLeast"/>
        </w:trPr>
        <w:tc>
          <w:tcPr>
            <w:tcW w:w="2062" w:type="dxa"/>
            <w:vAlign w:val="top"/>
          </w:tcPr>
          <w:p>
            <w:pPr>
              <w:pStyle w:val="TableText"/>
              <w:ind w:left="675"/>
              <w:spacing w:before="64" w:line="221" w:lineRule="auto"/>
              <w:rPr/>
            </w:pPr>
            <w:r>
              <w:rPr>
                <w:spacing w:val="-2"/>
              </w:rPr>
              <w:t>联系电话</w:t>
            </w:r>
          </w:p>
        </w:tc>
        <w:tc>
          <w:tcPr>
            <w:tcW w:w="2635" w:type="dxa"/>
            <w:vAlign w:val="top"/>
            <w:gridSpan w:val="3"/>
          </w:tcPr>
          <w:p>
            <w:pPr>
              <w:rPr>
                <w:rFonts w:ascii="Arial"/>
                <w:sz w:val="21"/>
              </w:rPr>
            </w:pPr>
            <w:r/>
          </w:p>
        </w:tc>
        <w:tc>
          <w:tcPr>
            <w:tcW w:w="1659" w:type="dxa"/>
            <w:vAlign w:val="top"/>
            <w:gridSpan w:val="2"/>
          </w:tcPr>
          <w:p>
            <w:pPr>
              <w:pStyle w:val="TableText"/>
              <w:ind w:left="669"/>
              <w:spacing w:before="64" w:line="224" w:lineRule="auto"/>
              <w:rPr/>
            </w:pPr>
            <w:r>
              <w:rPr>
                <w:spacing w:val="-11"/>
              </w:rPr>
              <w:t>网址</w:t>
            </w:r>
          </w:p>
        </w:tc>
        <w:tc>
          <w:tcPr>
            <w:tcW w:w="2383" w:type="dxa"/>
            <w:vAlign w:val="top"/>
            <w:gridSpan w:val="2"/>
          </w:tcPr>
          <w:p>
            <w:pPr>
              <w:rPr>
                <w:rFonts w:ascii="Arial"/>
                <w:sz w:val="21"/>
              </w:rPr>
            </w:pPr>
            <w:r/>
          </w:p>
        </w:tc>
      </w:tr>
      <w:tr>
        <w:trPr>
          <w:trHeight w:val="380" w:hRule="atLeast"/>
        </w:trPr>
        <w:tc>
          <w:tcPr>
            <w:tcW w:w="2062" w:type="dxa"/>
            <w:vAlign w:val="top"/>
          </w:tcPr>
          <w:p>
            <w:pPr>
              <w:pStyle w:val="TableText"/>
              <w:ind w:left="764"/>
              <w:spacing w:before="97" w:line="221" w:lineRule="auto"/>
              <w:rPr/>
            </w:pPr>
            <w:r>
              <w:rPr>
                <w:spacing w:val="-3"/>
              </w:rPr>
              <w:t>联系人</w:t>
            </w:r>
          </w:p>
        </w:tc>
        <w:tc>
          <w:tcPr>
            <w:tcW w:w="785" w:type="dxa"/>
            <w:vAlign w:val="top"/>
          </w:tcPr>
          <w:p>
            <w:pPr>
              <w:rPr>
                <w:rFonts w:ascii="Arial"/>
                <w:sz w:val="21"/>
              </w:rPr>
            </w:pPr>
            <w:r/>
          </w:p>
        </w:tc>
        <w:tc>
          <w:tcPr>
            <w:tcW w:w="824" w:type="dxa"/>
            <w:vAlign w:val="top"/>
          </w:tcPr>
          <w:p>
            <w:pPr>
              <w:pStyle w:val="TableText"/>
              <w:ind w:left="237"/>
              <w:spacing w:before="97" w:line="220" w:lineRule="auto"/>
              <w:rPr/>
            </w:pPr>
            <w:r>
              <w:rPr>
                <w:spacing w:val="-5"/>
              </w:rPr>
              <w:t>性别</w:t>
            </w:r>
          </w:p>
        </w:tc>
        <w:tc>
          <w:tcPr>
            <w:tcW w:w="1026" w:type="dxa"/>
            <w:vAlign w:val="top"/>
          </w:tcPr>
          <w:p>
            <w:pPr>
              <w:rPr>
                <w:rFonts w:ascii="Arial"/>
                <w:sz w:val="21"/>
              </w:rPr>
            </w:pPr>
            <w:r/>
          </w:p>
        </w:tc>
        <w:tc>
          <w:tcPr>
            <w:tcW w:w="806" w:type="dxa"/>
            <w:vAlign w:val="top"/>
          </w:tcPr>
          <w:p>
            <w:pPr>
              <w:pStyle w:val="TableText"/>
              <w:ind w:left="228"/>
              <w:spacing w:before="97" w:line="219" w:lineRule="auto"/>
              <w:rPr/>
            </w:pPr>
            <w:r>
              <w:rPr>
                <w:spacing w:val="-4"/>
              </w:rPr>
              <w:t>职务</w:t>
            </w:r>
          </w:p>
        </w:tc>
        <w:tc>
          <w:tcPr>
            <w:tcW w:w="853" w:type="dxa"/>
            <w:vAlign w:val="top"/>
          </w:tcPr>
          <w:p>
            <w:pPr>
              <w:rPr>
                <w:rFonts w:ascii="Arial"/>
                <w:sz w:val="21"/>
              </w:rPr>
            </w:pPr>
            <w:r/>
          </w:p>
        </w:tc>
        <w:tc>
          <w:tcPr>
            <w:tcW w:w="1454" w:type="dxa"/>
            <w:vAlign w:val="top"/>
          </w:tcPr>
          <w:p>
            <w:pPr>
              <w:pStyle w:val="TableText"/>
              <w:ind w:left="194"/>
              <w:spacing w:before="96" w:line="219" w:lineRule="auto"/>
              <w:rPr/>
            </w:pPr>
            <w:r>
              <w:rPr>
                <w:spacing w:val="-2"/>
              </w:rPr>
              <w:t>手机（微信）</w:t>
            </w:r>
          </w:p>
        </w:tc>
        <w:tc>
          <w:tcPr>
            <w:tcW w:w="929" w:type="dxa"/>
            <w:vAlign w:val="top"/>
          </w:tcPr>
          <w:p>
            <w:pPr>
              <w:rPr>
                <w:rFonts w:ascii="Arial"/>
                <w:sz w:val="21"/>
              </w:rPr>
            </w:pPr>
            <w:r/>
          </w:p>
        </w:tc>
      </w:tr>
      <w:tr>
        <w:trPr>
          <w:trHeight w:val="360" w:hRule="atLeast"/>
        </w:trPr>
        <w:tc>
          <w:tcPr>
            <w:tcW w:w="2062" w:type="dxa"/>
            <w:vAlign w:val="top"/>
          </w:tcPr>
          <w:p>
            <w:pPr>
              <w:pStyle w:val="TableText"/>
              <w:ind w:left="141"/>
              <w:spacing w:before="86" w:line="219" w:lineRule="auto"/>
              <w:rPr/>
            </w:pPr>
            <w:r>
              <w:rPr>
                <w:spacing w:val="-2"/>
              </w:rPr>
              <w:t>责任人（法定代表人）</w:t>
            </w:r>
          </w:p>
        </w:tc>
        <w:tc>
          <w:tcPr>
            <w:tcW w:w="785" w:type="dxa"/>
            <w:vAlign w:val="top"/>
          </w:tcPr>
          <w:p>
            <w:pPr>
              <w:rPr>
                <w:rFonts w:ascii="Arial"/>
                <w:sz w:val="21"/>
              </w:rPr>
            </w:pPr>
            <w:r/>
          </w:p>
        </w:tc>
        <w:tc>
          <w:tcPr>
            <w:tcW w:w="824" w:type="dxa"/>
            <w:vAlign w:val="top"/>
          </w:tcPr>
          <w:p>
            <w:pPr>
              <w:pStyle w:val="TableText"/>
              <w:ind w:left="237"/>
              <w:spacing w:before="86" w:line="220" w:lineRule="auto"/>
              <w:rPr/>
            </w:pPr>
            <w:r>
              <w:rPr>
                <w:spacing w:val="-5"/>
              </w:rPr>
              <w:t>性别</w:t>
            </w:r>
          </w:p>
        </w:tc>
        <w:tc>
          <w:tcPr>
            <w:tcW w:w="1026" w:type="dxa"/>
            <w:vAlign w:val="top"/>
          </w:tcPr>
          <w:p>
            <w:pPr>
              <w:rPr>
                <w:rFonts w:ascii="Arial"/>
                <w:sz w:val="21"/>
              </w:rPr>
            </w:pPr>
            <w:r/>
          </w:p>
        </w:tc>
        <w:tc>
          <w:tcPr>
            <w:tcW w:w="806" w:type="dxa"/>
            <w:vAlign w:val="top"/>
          </w:tcPr>
          <w:p>
            <w:pPr>
              <w:pStyle w:val="TableText"/>
              <w:ind w:left="228"/>
              <w:spacing w:before="86" w:line="219" w:lineRule="auto"/>
              <w:rPr/>
            </w:pPr>
            <w:r>
              <w:rPr>
                <w:spacing w:val="-4"/>
              </w:rPr>
              <w:t>职务</w:t>
            </w:r>
          </w:p>
        </w:tc>
        <w:tc>
          <w:tcPr>
            <w:tcW w:w="853" w:type="dxa"/>
            <w:vAlign w:val="top"/>
          </w:tcPr>
          <w:p>
            <w:pPr>
              <w:rPr>
                <w:rFonts w:ascii="Arial"/>
                <w:sz w:val="21"/>
              </w:rPr>
            </w:pPr>
            <w:r/>
          </w:p>
        </w:tc>
        <w:tc>
          <w:tcPr>
            <w:tcW w:w="1454" w:type="dxa"/>
            <w:vAlign w:val="top"/>
          </w:tcPr>
          <w:p>
            <w:pPr>
              <w:pStyle w:val="TableText"/>
              <w:ind w:left="194"/>
              <w:spacing w:before="86" w:line="219" w:lineRule="auto"/>
              <w:rPr/>
            </w:pPr>
            <w:r>
              <w:rPr>
                <w:spacing w:val="-2"/>
              </w:rPr>
              <w:t>手机（微信）</w:t>
            </w:r>
          </w:p>
        </w:tc>
        <w:tc>
          <w:tcPr>
            <w:tcW w:w="929" w:type="dxa"/>
            <w:vAlign w:val="top"/>
          </w:tcPr>
          <w:p>
            <w:pPr>
              <w:rPr>
                <w:rFonts w:ascii="Arial"/>
                <w:sz w:val="21"/>
              </w:rPr>
            </w:pPr>
            <w:r/>
          </w:p>
        </w:tc>
      </w:tr>
      <w:tr>
        <w:trPr>
          <w:trHeight w:val="312" w:hRule="atLeast"/>
        </w:trPr>
        <w:tc>
          <w:tcPr>
            <w:tcW w:w="2062" w:type="dxa"/>
            <w:vAlign w:val="top"/>
          </w:tcPr>
          <w:p>
            <w:pPr>
              <w:pStyle w:val="TableText"/>
              <w:ind w:left="674"/>
              <w:spacing w:before="62" w:line="219" w:lineRule="auto"/>
              <w:rPr/>
            </w:pPr>
            <w:r>
              <w:rPr>
                <w:spacing w:val="-2"/>
              </w:rPr>
              <w:t>基本情况</w:t>
            </w:r>
          </w:p>
        </w:tc>
        <w:tc>
          <w:tcPr>
            <w:tcW w:w="6677" w:type="dxa"/>
            <w:vAlign w:val="top"/>
            <w:gridSpan w:val="7"/>
          </w:tcPr>
          <w:p>
            <w:pPr>
              <w:rPr>
                <w:rFonts w:ascii="Arial"/>
                <w:sz w:val="21"/>
              </w:rPr>
            </w:pPr>
            <w:r/>
          </w:p>
        </w:tc>
      </w:tr>
      <w:tr>
        <w:trPr>
          <w:trHeight w:val="623" w:hRule="atLeast"/>
        </w:trPr>
        <w:tc>
          <w:tcPr>
            <w:tcW w:w="2062" w:type="dxa"/>
            <w:vAlign w:val="top"/>
          </w:tcPr>
          <w:p>
            <w:pPr>
              <w:pStyle w:val="TableText"/>
              <w:ind w:left="58"/>
              <w:spacing w:before="61" w:line="219" w:lineRule="auto"/>
              <w:rPr/>
            </w:pPr>
            <w:r>
              <w:rPr>
                <w:spacing w:val="-2"/>
              </w:rPr>
              <w:t>品牌简介及对应产品简要</w:t>
            </w:r>
          </w:p>
          <w:p>
            <w:pPr>
              <w:pStyle w:val="TableText"/>
              <w:ind w:left="856"/>
              <w:spacing w:before="99" w:line="219" w:lineRule="auto"/>
              <w:rPr/>
            </w:pPr>
            <w:r>
              <w:rPr>
                <w:spacing w:val="-5"/>
              </w:rPr>
              <w:t>说明</w:t>
            </w:r>
          </w:p>
        </w:tc>
        <w:tc>
          <w:tcPr>
            <w:tcW w:w="6677" w:type="dxa"/>
            <w:vAlign w:val="top"/>
            <w:gridSpan w:val="7"/>
          </w:tcPr>
          <w:p>
            <w:pPr>
              <w:rPr>
                <w:rFonts w:ascii="Arial"/>
                <w:sz w:val="21"/>
              </w:rPr>
            </w:pPr>
            <w:r/>
          </w:p>
        </w:tc>
      </w:tr>
      <w:tr>
        <w:trPr>
          <w:trHeight w:val="623" w:hRule="atLeast"/>
        </w:trPr>
        <w:tc>
          <w:tcPr>
            <w:tcW w:w="2062" w:type="dxa"/>
            <w:vAlign w:val="top"/>
          </w:tcPr>
          <w:p>
            <w:pPr>
              <w:pStyle w:val="TableText"/>
              <w:ind w:left="58"/>
              <w:spacing w:before="221" w:line="219" w:lineRule="auto"/>
              <w:rPr/>
            </w:pPr>
            <w:r>
              <w:rPr>
                <w:spacing w:val="-2"/>
              </w:rPr>
              <w:t>品牌发展现状和发展规划</w:t>
            </w:r>
          </w:p>
        </w:tc>
        <w:tc>
          <w:tcPr>
            <w:tcW w:w="6677" w:type="dxa"/>
            <w:vAlign w:val="top"/>
            <w:gridSpan w:val="7"/>
          </w:tcPr>
          <w:p>
            <w:pPr>
              <w:rPr>
                <w:rFonts w:ascii="Arial"/>
                <w:sz w:val="21"/>
              </w:rPr>
            </w:pPr>
            <w:r/>
          </w:p>
        </w:tc>
      </w:tr>
      <w:tr>
        <w:trPr>
          <w:trHeight w:val="420" w:hRule="atLeast"/>
        </w:trPr>
        <w:tc>
          <w:tcPr>
            <w:tcW w:w="2062" w:type="dxa"/>
            <w:vAlign w:val="top"/>
          </w:tcPr>
          <w:p>
            <w:pPr>
              <w:pStyle w:val="TableText"/>
              <w:ind w:left="315"/>
              <w:spacing w:before="119" w:line="219" w:lineRule="auto"/>
              <w:rPr/>
            </w:pPr>
            <w:r>
              <w:rPr>
                <w:spacing w:val="-1"/>
              </w:rPr>
              <w:t>起源地理范围来源</w:t>
            </w:r>
          </w:p>
        </w:tc>
        <w:tc>
          <w:tcPr>
            <w:tcW w:w="6677" w:type="dxa"/>
            <w:vAlign w:val="top"/>
            <w:gridSpan w:val="7"/>
          </w:tcPr>
          <w:p>
            <w:pPr>
              <w:rPr>
                <w:rFonts w:ascii="Arial"/>
                <w:sz w:val="21"/>
              </w:rPr>
            </w:pPr>
            <w:r/>
          </w:p>
        </w:tc>
      </w:tr>
      <w:tr>
        <w:trPr>
          <w:trHeight w:val="420" w:hRule="atLeast"/>
        </w:trPr>
        <w:tc>
          <w:tcPr>
            <w:tcW w:w="2062" w:type="dxa"/>
            <w:vAlign w:val="top"/>
          </w:tcPr>
          <w:p>
            <w:pPr>
              <w:pStyle w:val="TableText"/>
              <w:ind w:left="44"/>
              <w:spacing w:before="118" w:line="220" w:lineRule="auto"/>
              <w:rPr/>
            </w:pPr>
            <w:r>
              <w:rPr>
                <w:spacing w:val="-1"/>
              </w:rPr>
              <w:t>起源地理范围描述及佐证</w:t>
            </w:r>
          </w:p>
        </w:tc>
        <w:tc>
          <w:tcPr>
            <w:tcW w:w="6677" w:type="dxa"/>
            <w:vAlign w:val="top"/>
            <w:gridSpan w:val="7"/>
          </w:tcPr>
          <w:p>
            <w:pPr>
              <w:rPr>
                <w:rFonts w:ascii="Arial"/>
                <w:sz w:val="21"/>
              </w:rPr>
            </w:pPr>
            <w:r/>
          </w:p>
        </w:tc>
      </w:tr>
      <w:tr>
        <w:trPr>
          <w:trHeight w:val="420" w:hRule="atLeast"/>
        </w:trPr>
        <w:tc>
          <w:tcPr>
            <w:tcW w:w="2062" w:type="dxa"/>
            <w:vAlign w:val="top"/>
          </w:tcPr>
          <w:p>
            <w:pPr>
              <w:pStyle w:val="TableText"/>
              <w:ind w:left="224"/>
              <w:spacing w:before="118" w:line="219" w:lineRule="auto"/>
              <w:rPr/>
            </w:pPr>
            <w:r>
              <w:rPr>
                <w:spacing w:val="-1"/>
              </w:rPr>
              <w:t>起源地域特征与特性</w:t>
            </w:r>
          </w:p>
        </w:tc>
        <w:tc>
          <w:tcPr>
            <w:tcW w:w="6677" w:type="dxa"/>
            <w:vAlign w:val="top"/>
            <w:gridSpan w:val="7"/>
          </w:tcPr>
          <w:p>
            <w:pPr>
              <w:rPr>
                <w:rFonts w:ascii="Arial"/>
                <w:sz w:val="21"/>
              </w:rPr>
            </w:pPr>
            <w:r/>
          </w:p>
        </w:tc>
      </w:tr>
      <w:tr>
        <w:trPr>
          <w:trHeight w:val="610" w:hRule="atLeast"/>
        </w:trPr>
        <w:tc>
          <w:tcPr>
            <w:tcW w:w="2062" w:type="dxa"/>
            <w:vAlign w:val="top"/>
          </w:tcPr>
          <w:p>
            <w:pPr>
              <w:pStyle w:val="TableText"/>
              <w:ind w:left="149"/>
              <w:spacing w:before="214" w:line="219" w:lineRule="auto"/>
              <w:rPr/>
            </w:pPr>
            <w:r>
              <w:rPr>
                <w:spacing w:val="-3"/>
              </w:rPr>
              <w:t>品牌的影响力和传播力</w:t>
            </w:r>
          </w:p>
        </w:tc>
        <w:tc>
          <w:tcPr>
            <w:tcW w:w="6677" w:type="dxa"/>
            <w:vAlign w:val="top"/>
            <w:gridSpan w:val="7"/>
          </w:tcPr>
          <w:p>
            <w:pPr>
              <w:rPr>
                <w:rFonts w:ascii="Arial"/>
                <w:sz w:val="21"/>
              </w:rPr>
            </w:pPr>
            <w:r/>
          </w:p>
        </w:tc>
      </w:tr>
      <w:tr>
        <w:trPr>
          <w:trHeight w:val="326" w:hRule="atLeast"/>
        </w:trPr>
        <w:tc>
          <w:tcPr>
            <w:tcW w:w="2062" w:type="dxa"/>
            <w:vAlign w:val="top"/>
          </w:tcPr>
          <w:p>
            <w:pPr>
              <w:pStyle w:val="TableText"/>
              <w:ind w:left="496"/>
              <w:spacing w:before="71" w:line="219" w:lineRule="auto"/>
              <w:rPr/>
            </w:pPr>
            <w:r>
              <w:rPr>
                <w:spacing w:val="-2"/>
              </w:rPr>
              <w:t>历史传承因素</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676"/>
              <w:spacing w:before="65" w:line="219" w:lineRule="auto"/>
              <w:rPr/>
            </w:pPr>
            <w:r>
              <w:rPr>
                <w:spacing w:val="-3"/>
              </w:rPr>
              <w:t>人文因素</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704"/>
              <w:spacing w:before="67" w:line="219" w:lineRule="auto"/>
              <w:rPr/>
            </w:pPr>
            <w:r>
              <w:rPr>
                <w:spacing w:val="-10"/>
              </w:rPr>
              <w:t>自然因素</w:t>
            </w:r>
          </w:p>
        </w:tc>
        <w:tc>
          <w:tcPr>
            <w:tcW w:w="6677" w:type="dxa"/>
            <w:vAlign w:val="top"/>
            <w:gridSpan w:val="7"/>
          </w:tcPr>
          <w:p>
            <w:pPr>
              <w:rPr>
                <w:rFonts w:ascii="Arial"/>
                <w:sz w:val="21"/>
              </w:rPr>
            </w:pPr>
            <w:r/>
          </w:p>
        </w:tc>
      </w:tr>
      <w:tr>
        <w:trPr>
          <w:trHeight w:val="417" w:hRule="atLeast"/>
        </w:trPr>
        <w:tc>
          <w:tcPr>
            <w:tcW w:w="2062" w:type="dxa"/>
            <w:vAlign w:val="top"/>
          </w:tcPr>
          <w:p>
            <w:pPr>
              <w:pStyle w:val="TableText"/>
              <w:ind w:left="676"/>
              <w:spacing w:before="117" w:line="220" w:lineRule="auto"/>
              <w:rPr/>
            </w:pPr>
            <w:r>
              <w:rPr>
                <w:spacing w:val="-3"/>
              </w:rPr>
              <w:t>生态环境</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675"/>
              <w:spacing w:before="65" w:line="220" w:lineRule="auto"/>
              <w:rPr/>
            </w:pPr>
            <w:r>
              <w:rPr>
                <w:spacing w:val="-2"/>
              </w:rPr>
              <w:t>制度建设</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495"/>
              <w:spacing w:before="67" w:line="219" w:lineRule="auto"/>
              <w:rPr/>
            </w:pPr>
            <w:r>
              <w:rPr>
                <w:spacing w:val="-2"/>
              </w:rPr>
              <w:t>来源管理体系</w:t>
            </w:r>
          </w:p>
        </w:tc>
        <w:tc>
          <w:tcPr>
            <w:tcW w:w="6677" w:type="dxa"/>
            <w:vAlign w:val="top"/>
            <w:gridSpan w:val="7"/>
          </w:tcPr>
          <w:p>
            <w:pPr>
              <w:rPr>
                <w:rFonts w:ascii="Arial"/>
                <w:sz w:val="21"/>
              </w:rPr>
            </w:pPr>
            <w:r/>
          </w:p>
        </w:tc>
      </w:tr>
      <w:tr>
        <w:trPr>
          <w:trHeight w:val="623" w:hRule="atLeast"/>
        </w:trPr>
        <w:tc>
          <w:tcPr>
            <w:tcW w:w="2062" w:type="dxa"/>
            <w:vAlign w:val="top"/>
          </w:tcPr>
          <w:p>
            <w:pPr>
              <w:pStyle w:val="TableText"/>
              <w:ind w:left="45"/>
              <w:spacing w:before="67" w:line="219" w:lineRule="auto"/>
              <w:rPr/>
            </w:pPr>
            <w:r>
              <w:rPr>
                <w:spacing w:val="-1"/>
              </w:rPr>
              <w:t>现代化管理体系及相关认</w:t>
            </w:r>
          </w:p>
          <w:p>
            <w:pPr>
              <w:pStyle w:val="TableText"/>
              <w:ind w:left="943"/>
              <w:spacing w:before="98" w:line="230" w:lineRule="auto"/>
              <w:rPr/>
            </w:pPr>
            <w:r>
              <w:rPr/>
              <w:t>证</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404"/>
              <w:spacing w:before="68" w:line="219" w:lineRule="auto"/>
              <w:rPr/>
            </w:pPr>
            <w:r>
              <w:rPr>
                <w:spacing w:val="-2"/>
              </w:rPr>
              <w:t>技术能力和创新</w:t>
            </w:r>
          </w:p>
        </w:tc>
        <w:tc>
          <w:tcPr>
            <w:tcW w:w="6677" w:type="dxa"/>
            <w:vAlign w:val="top"/>
            <w:gridSpan w:val="7"/>
          </w:tcPr>
          <w:p>
            <w:pPr>
              <w:rPr>
                <w:rFonts w:ascii="Arial"/>
                <w:sz w:val="21"/>
              </w:rPr>
            </w:pPr>
            <w:r/>
          </w:p>
        </w:tc>
      </w:tr>
      <w:tr>
        <w:trPr>
          <w:trHeight w:val="315" w:hRule="atLeast"/>
        </w:trPr>
        <w:tc>
          <w:tcPr>
            <w:tcW w:w="2062" w:type="dxa"/>
            <w:vAlign w:val="top"/>
          </w:tcPr>
          <w:p>
            <w:pPr>
              <w:pStyle w:val="TableText"/>
              <w:ind w:left="689"/>
              <w:spacing w:before="68" w:line="219" w:lineRule="auto"/>
              <w:rPr/>
            </w:pPr>
            <w:r>
              <w:rPr>
                <w:spacing w:val="-6"/>
              </w:rPr>
              <w:t>品牌运维</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678"/>
              <w:spacing w:before="67" w:line="219" w:lineRule="auto"/>
              <w:rPr/>
            </w:pPr>
            <w:r>
              <w:rPr>
                <w:spacing w:val="-3"/>
              </w:rPr>
              <w:t>知识产权</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679"/>
              <w:spacing w:before="67" w:line="219" w:lineRule="auto"/>
              <w:rPr/>
            </w:pPr>
            <w:r>
              <w:rPr>
                <w:spacing w:val="-3"/>
              </w:rPr>
              <w:t>市场表现</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676"/>
              <w:spacing w:before="66" w:line="219" w:lineRule="auto"/>
              <w:rPr/>
            </w:pPr>
            <w:r>
              <w:rPr>
                <w:spacing w:val="-3"/>
              </w:rPr>
              <w:t>社会责任</w:t>
            </w:r>
          </w:p>
        </w:tc>
        <w:tc>
          <w:tcPr>
            <w:tcW w:w="6677" w:type="dxa"/>
            <w:vAlign w:val="top"/>
            <w:gridSpan w:val="7"/>
          </w:tcPr>
          <w:p>
            <w:pPr>
              <w:rPr>
                <w:rFonts w:ascii="Arial"/>
                <w:sz w:val="21"/>
              </w:rPr>
            </w:pPr>
            <w:r/>
          </w:p>
        </w:tc>
      </w:tr>
      <w:tr>
        <w:trPr>
          <w:trHeight w:val="312" w:hRule="atLeast"/>
        </w:trPr>
        <w:tc>
          <w:tcPr>
            <w:tcW w:w="2062" w:type="dxa"/>
            <w:vAlign w:val="top"/>
          </w:tcPr>
          <w:p>
            <w:pPr>
              <w:pStyle w:val="TableText"/>
              <w:ind w:left="226"/>
              <w:spacing w:before="66" w:line="219" w:lineRule="auto"/>
              <w:rPr/>
            </w:pPr>
            <w:r>
              <w:rPr>
                <w:spacing w:val="-2"/>
              </w:rPr>
              <w:t>获得荣誉（可附页）</w:t>
            </w:r>
          </w:p>
        </w:tc>
        <w:tc>
          <w:tcPr>
            <w:tcW w:w="6677" w:type="dxa"/>
            <w:vAlign w:val="top"/>
            <w:gridSpan w:val="7"/>
          </w:tcPr>
          <w:p>
            <w:pPr>
              <w:rPr>
                <w:rFonts w:ascii="Arial"/>
                <w:sz w:val="21"/>
              </w:rPr>
            </w:pPr>
            <w:r/>
          </w:p>
        </w:tc>
      </w:tr>
      <w:tr>
        <w:trPr>
          <w:trHeight w:val="623" w:hRule="atLeast"/>
        </w:trPr>
        <w:tc>
          <w:tcPr>
            <w:tcW w:w="2062" w:type="dxa"/>
            <w:vAlign w:val="top"/>
          </w:tcPr>
          <w:p>
            <w:pPr>
              <w:pStyle w:val="TableText"/>
              <w:ind w:left="496"/>
              <w:spacing w:before="222" w:line="220" w:lineRule="auto"/>
              <w:rPr/>
            </w:pPr>
            <w:r>
              <w:rPr>
                <w:spacing w:val="-2"/>
              </w:rPr>
              <w:t>辅助资料列表</w:t>
            </w:r>
          </w:p>
        </w:tc>
        <w:tc>
          <w:tcPr>
            <w:tcW w:w="6677" w:type="dxa"/>
            <w:vAlign w:val="top"/>
            <w:gridSpan w:val="7"/>
          </w:tcPr>
          <w:p>
            <w:pPr>
              <w:pStyle w:val="TableText"/>
              <w:ind w:left="15"/>
              <w:spacing w:before="65" w:line="219" w:lineRule="auto"/>
              <w:rPr/>
            </w:pPr>
            <w:r>
              <w:rPr>
                <w:spacing w:val="-1"/>
              </w:rPr>
              <w:t>辅助资料目录：1.知识产权证书；2</w:t>
            </w:r>
            <w:r>
              <w:rPr>
                <w:spacing w:val="-70"/>
              </w:rPr>
              <w:t xml:space="preserve"> </w:t>
            </w:r>
            <w:r>
              <w:rPr>
                <w:u w:val="single" w:color="auto"/>
                <w:spacing w:val="39"/>
              </w:rPr>
              <w:t xml:space="preserve">  </w:t>
            </w:r>
            <w:r>
              <w:rPr>
                <w:spacing w:val="-1"/>
              </w:rPr>
              <w:t xml:space="preserve"> 3</w:t>
            </w:r>
            <w:r>
              <w:rPr>
                <w:spacing w:val="-77"/>
              </w:rPr>
              <w:t xml:space="preserve"> </w:t>
            </w:r>
            <w:r>
              <w:rPr>
                <w:u w:val="single" w:color="auto"/>
              </w:rPr>
              <w:t xml:space="preserve">   </w:t>
            </w:r>
          </w:p>
          <w:p>
            <w:pPr>
              <w:pStyle w:val="TableText"/>
              <w:ind w:left="103"/>
              <w:spacing w:before="98" w:line="219" w:lineRule="auto"/>
              <w:rPr/>
            </w:pPr>
            <w:r>
              <w:rPr>
                <w:spacing w:val="-1"/>
              </w:rPr>
              <w:t>注：详细辅助资料请按目录顺序装订成册，单独附页列出。</w:t>
            </w:r>
          </w:p>
        </w:tc>
      </w:tr>
      <w:tr>
        <w:trPr>
          <w:trHeight w:val="523" w:hRule="atLeast"/>
        </w:trPr>
        <w:tc>
          <w:tcPr>
            <w:tcW w:w="2062" w:type="dxa"/>
            <w:vAlign w:val="top"/>
          </w:tcPr>
          <w:p>
            <w:pPr>
              <w:pStyle w:val="TableText"/>
              <w:ind w:left="698"/>
              <w:spacing w:before="172" w:line="219" w:lineRule="auto"/>
              <w:rPr/>
            </w:pPr>
            <w:r>
              <w:rPr>
                <w:spacing w:val="-8"/>
              </w:rPr>
              <w:t>申报单位</w:t>
            </w:r>
          </w:p>
        </w:tc>
        <w:tc>
          <w:tcPr>
            <w:tcW w:w="6677" w:type="dxa"/>
            <w:vAlign w:val="top"/>
            <w:gridSpan w:val="7"/>
          </w:tcPr>
          <w:p>
            <w:pPr>
              <w:pStyle w:val="TableText"/>
              <w:ind w:left="14"/>
              <w:spacing w:before="69" w:line="219" w:lineRule="auto"/>
              <w:rPr/>
            </w:pPr>
            <w:r>
              <w:rPr>
                <w:spacing w:val="-3"/>
              </w:rPr>
              <w:t>签字（盖章</w:t>
            </w:r>
            <w:r>
              <w:rPr/>
              <w:t>）：</w:t>
            </w:r>
            <w:r>
              <w:rPr>
                <w:spacing w:val="14"/>
              </w:rPr>
              <w:t xml:space="preserve"> </w:t>
            </w:r>
            <w:r>
              <w:rPr>
                <w:spacing w:val="-3"/>
              </w:rPr>
              <w:t>时间：</w:t>
            </w:r>
          </w:p>
        </w:tc>
      </w:tr>
    </w:tbl>
    <w:p>
      <w:pPr>
        <w:pStyle w:val="BodyText"/>
        <w:rPr/>
      </w:pPr>
      <w:r/>
    </w:p>
    <w:p>
      <w:pPr>
        <w:sectPr>
          <w:footerReference w:type="default" r:id="rId20"/>
          <w:pgSz w:w="11906" w:h="16839"/>
          <w:pgMar w:top="400" w:right="1575" w:bottom="1000" w:left="1585" w:header="0" w:footer="836" w:gutter="0"/>
        </w:sectPr>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3003"/>
        <w:spacing w:before="65" w:line="229" w:lineRule="auto"/>
        <w:outlineLvl w:val="0"/>
        <w:rPr>
          <w:rFonts w:ascii="SimHei" w:hAnsi="SimHei" w:eastAsia="SimHei" w:cs="SimHei"/>
          <w:sz w:val="20"/>
          <w:szCs w:val="20"/>
        </w:rPr>
      </w:pPr>
      <w:bookmarkStart w:name="bookmark16" w:id="19"/>
      <w:bookmarkEnd w:id="19"/>
      <w:r>
        <w:rPr>
          <w:rFonts w:ascii="SimHei" w:hAnsi="SimHei" w:eastAsia="SimHei" w:cs="SimHei"/>
          <w:sz w:val="20"/>
          <w:szCs w:val="20"/>
          <w:spacing w:val="8"/>
        </w:rPr>
        <w:t>附录</w:t>
      </w:r>
      <w:r>
        <w:rPr>
          <w:rFonts w:ascii="SimHei" w:hAnsi="SimHei" w:eastAsia="SimHei" w:cs="SimHei"/>
          <w:sz w:val="20"/>
          <w:szCs w:val="20"/>
          <w:spacing w:val="8"/>
        </w:rPr>
        <w:t xml:space="preserve"> </w:t>
      </w:r>
      <w:r>
        <w:rPr>
          <w:rFonts w:ascii="Times New Roman" w:hAnsi="Times New Roman" w:eastAsia="Times New Roman" w:cs="Times New Roman"/>
          <w:sz w:val="20"/>
          <w:szCs w:val="20"/>
          <w:spacing w:val="8"/>
        </w:rPr>
        <w:t>D</w:t>
      </w:r>
      <w:r>
        <w:rPr>
          <w:rFonts w:ascii="SimHei" w:hAnsi="SimHei" w:eastAsia="SimHei" w:cs="SimHei"/>
          <w:sz w:val="20"/>
          <w:szCs w:val="20"/>
          <w:spacing w:val="8"/>
        </w:rPr>
        <w:t>（规范性）评定等级标准</w:t>
      </w:r>
    </w:p>
    <w:p>
      <w:pPr>
        <w:spacing w:before="219"/>
        <w:rPr/>
      </w:pPr>
      <w:r/>
    </w:p>
    <w:tbl>
      <w:tblPr>
        <w:tblStyle w:val="TableNormal"/>
        <w:tblW w:w="852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134"/>
        <w:gridCol w:w="1081"/>
        <w:gridCol w:w="1259"/>
        <w:gridCol w:w="4052"/>
      </w:tblGrid>
      <w:tr>
        <w:trPr>
          <w:trHeight w:val="321" w:hRule="atLeast"/>
        </w:trPr>
        <w:tc>
          <w:tcPr>
            <w:tcW w:w="2134" w:type="dxa"/>
            <w:vAlign w:val="top"/>
          </w:tcPr>
          <w:p>
            <w:pPr>
              <w:pStyle w:val="TableText"/>
              <w:ind w:left="710"/>
              <w:spacing w:before="71" w:line="219" w:lineRule="auto"/>
              <w:rPr/>
            </w:pPr>
            <w:r>
              <w:rPr>
                <w:b/>
                <w:bCs/>
                <w:spacing w:val="-3"/>
              </w:rPr>
              <w:t>评定等级</w:t>
            </w:r>
          </w:p>
        </w:tc>
        <w:tc>
          <w:tcPr>
            <w:tcW w:w="1081" w:type="dxa"/>
            <w:vAlign w:val="top"/>
          </w:tcPr>
          <w:p>
            <w:pPr>
              <w:pStyle w:val="TableText"/>
              <w:ind w:left="189"/>
              <w:spacing w:before="71" w:line="220" w:lineRule="auto"/>
              <w:rPr/>
            </w:pPr>
            <w:r>
              <w:rPr>
                <w:b/>
                <w:bCs/>
                <w:spacing w:val="-5"/>
              </w:rPr>
              <w:t>总分区间</w:t>
            </w:r>
          </w:p>
        </w:tc>
        <w:tc>
          <w:tcPr>
            <w:tcW w:w="1259" w:type="dxa"/>
            <w:vAlign w:val="top"/>
          </w:tcPr>
          <w:p>
            <w:pPr>
              <w:pStyle w:val="TableText"/>
              <w:ind w:left="271"/>
              <w:spacing w:before="71" w:line="220" w:lineRule="auto"/>
              <w:rPr/>
            </w:pPr>
            <w:r>
              <w:rPr>
                <w:b/>
                <w:bCs/>
                <w:spacing w:val="-3"/>
              </w:rPr>
              <w:t>评定结论</w:t>
            </w:r>
          </w:p>
        </w:tc>
        <w:tc>
          <w:tcPr>
            <w:tcW w:w="4052" w:type="dxa"/>
            <w:vAlign w:val="top"/>
          </w:tcPr>
          <w:p>
            <w:pPr>
              <w:pStyle w:val="TableText"/>
              <w:ind w:left="1492"/>
              <w:spacing w:before="71" w:line="220" w:lineRule="auto"/>
              <w:rPr/>
            </w:pPr>
            <w:r>
              <w:rPr>
                <w:b/>
                <w:bCs/>
                <w:spacing w:val="-4"/>
              </w:rPr>
              <w:t>核心判定要点</w:t>
            </w:r>
          </w:p>
        </w:tc>
      </w:tr>
      <w:tr>
        <w:trPr>
          <w:trHeight w:val="750" w:hRule="atLeast"/>
        </w:trPr>
        <w:tc>
          <w:tcPr>
            <w:tcW w:w="2134" w:type="dxa"/>
            <w:vAlign w:val="top"/>
          </w:tcPr>
          <w:p>
            <w:pPr>
              <w:pStyle w:val="TableText"/>
              <w:ind w:left="278"/>
              <w:spacing w:before="285" w:line="219" w:lineRule="auto"/>
              <w:rPr/>
            </w:pPr>
            <w:r>
              <w:rPr>
                <w:spacing w:val="-2"/>
              </w:rPr>
              <w:t>AAAAA</w:t>
            </w:r>
            <w:r>
              <w:rPr>
                <w:spacing w:val="-27"/>
              </w:rPr>
              <w:t xml:space="preserve"> </w:t>
            </w:r>
            <w:r>
              <w:rPr>
                <w:spacing w:val="-2"/>
              </w:rPr>
              <w:t>非遗创新品牌</w:t>
            </w:r>
          </w:p>
        </w:tc>
        <w:tc>
          <w:tcPr>
            <w:tcW w:w="1081" w:type="dxa"/>
            <w:vAlign w:val="top"/>
          </w:tcPr>
          <w:p>
            <w:pPr>
              <w:pStyle w:val="TableText"/>
              <w:ind w:left="111"/>
              <w:spacing w:before="284"/>
              <w:rPr/>
            </w:pPr>
            <w:r>
              <w:rPr>
                <w:spacing w:val="-2"/>
              </w:rPr>
              <w:t>95~100</w:t>
            </w:r>
          </w:p>
        </w:tc>
        <w:tc>
          <w:tcPr>
            <w:tcW w:w="1259" w:type="dxa"/>
            <w:vAlign w:val="top"/>
          </w:tcPr>
          <w:p>
            <w:pPr>
              <w:pStyle w:val="TableText"/>
              <w:ind w:left="452"/>
              <w:spacing w:before="284" w:line="227" w:lineRule="auto"/>
              <w:rPr/>
            </w:pPr>
            <w:r>
              <w:rPr>
                <w:spacing w:val="-4"/>
              </w:rPr>
              <w:t>通过</w:t>
            </w:r>
          </w:p>
        </w:tc>
        <w:tc>
          <w:tcPr>
            <w:tcW w:w="4052" w:type="dxa"/>
            <w:vAlign w:val="top"/>
          </w:tcPr>
          <w:p>
            <w:pPr>
              <w:pStyle w:val="TableText"/>
              <w:ind w:left="113" w:right="161" w:firstLine="2"/>
              <w:spacing w:before="129" w:line="313" w:lineRule="auto"/>
              <w:rPr/>
            </w:pPr>
            <w:r>
              <w:rPr>
                <w:spacing w:val="-1"/>
              </w:rPr>
              <w:t>非遗为国家级、知识产权布局完善、传承体系完</w:t>
            </w:r>
            <w:r>
              <w:rPr>
                <w:spacing w:val="-1"/>
              </w:rPr>
              <w:t>整、创新成果行业领先、起源文化辨识度极强</w:t>
            </w:r>
          </w:p>
        </w:tc>
      </w:tr>
      <w:tr>
        <w:trPr>
          <w:trHeight w:val="628" w:hRule="atLeast"/>
        </w:trPr>
        <w:tc>
          <w:tcPr>
            <w:tcW w:w="2134" w:type="dxa"/>
            <w:vAlign w:val="top"/>
          </w:tcPr>
          <w:p>
            <w:pPr>
              <w:pStyle w:val="TableText"/>
              <w:ind w:left="323"/>
              <w:spacing w:before="223" w:line="219" w:lineRule="auto"/>
              <w:rPr/>
            </w:pPr>
            <w:r>
              <w:rPr>
                <w:spacing w:val="-2"/>
              </w:rPr>
              <w:t>AAAA</w:t>
            </w:r>
            <w:r>
              <w:rPr>
                <w:spacing w:val="-27"/>
              </w:rPr>
              <w:t xml:space="preserve"> </w:t>
            </w:r>
            <w:r>
              <w:rPr>
                <w:spacing w:val="-2"/>
              </w:rPr>
              <w:t>非遗创新品牌</w:t>
            </w:r>
          </w:p>
        </w:tc>
        <w:tc>
          <w:tcPr>
            <w:tcW w:w="1081" w:type="dxa"/>
            <w:vAlign w:val="top"/>
          </w:tcPr>
          <w:p>
            <w:pPr>
              <w:pStyle w:val="TableText"/>
              <w:ind w:left="111"/>
              <w:spacing w:before="223"/>
              <w:rPr/>
            </w:pPr>
            <w:r>
              <w:rPr>
                <w:spacing w:val="-2"/>
              </w:rPr>
              <w:t>81~94</w:t>
            </w:r>
          </w:p>
        </w:tc>
        <w:tc>
          <w:tcPr>
            <w:tcW w:w="1259" w:type="dxa"/>
            <w:vAlign w:val="top"/>
          </w:tcPr>
          <w:p>
            <w:pPr>
              <w:pStyle w:val="TableText"/>
              <w:ind w:left="452"/>
              <w:spacing w:before="223" w:line="227" w:lineRule="auto"/>
              <w:rPr/>
            </w:pPr>
            <w:r>
              <w:rPr>
                <w:spacing w:val="-4"/>
              </w:rPr>
              <w:t>通过</w:t>
            </w:r>
          </w:p>
        </w:tc>
        <w:tc>
          <w:tcPr>
            <w:tcW w:w="4052" w:type="dxa"/>
            <w:vAlign w:val="top"/>
          </w:tcPr>
          <w:p>
            <w:pPr>
              <w:pStyle w:val="TableText"/>
              <w:ind w:left="113" w:right="161" w:firstLine="2"/>
              <w:spacing w:before="68" w:line="282" w:lineRule="auto"/>
              <w:rPr/>
            </w:pPr>
            <w:r>
              <w:rPr>
                <w:spacing w:val="-1"/>
              </w:rPr>
              <w:t>省级及以上非遗，商标+多类专利 / 版权，常态</w:t>
            </w:r>
            <w:r>
              <w:rPr>
                <w:spacing w:val="-1"/>
              </w:rPr>
              <w:t>化传习，创新产品稳定市场化运营</w:t>
            </w:r>
          </w:p>
        </w:tc>
      </w:tr>
      <w:tr>
        <w:trPr>
          <w:trHeight w:val="628" w:hRule="atLeast"/>
        </w:trPr>
        <w:tc>
          <w:tcPr>
            <w:tcW w:w="2134" w:type="dxa"/>
            <w:vAlign w:val="top"/>
          </w:tcPr>
          <w:p>
            <w:pPr>
              <w:pStyle w:val="TableText"/>
              <w:ind w:left="369"/>
              <w:spacing w:before="224" w:line="219" w:lineRule="auto"/>
              <w:rPr/>
            </w:pPr>
            <w:r>
              <w:rPr>
                <w:spacing w:val="-2"/>
              </w:rPr>
              <w:t>AAA</w:t>
            </w:r>
            <w:r>
              <w:rPr>
                <w:spacing w:val="-31"/>
              </w:rPr>
              <w:t xml:space="preserve"> </w:t>
            </w:r>
            <w:r>
              <w:rPr>
                <w:spacing w:val="-2"/>
              </w:rPr>
              <w:t>非遗创新品牌</w:t>
            </w:r>
          </w:p>
        </w:tc>
        <w:tc>
          <w:tcPr>
            <w:tcW w:w="1081" w:type="dxa"/>
            <w:vAlign w:val="top"/>
          </w:tcPr>
          <w:p>
            <w:pPr>
              <w:pStyle w:val="TableText"/>
              <w:ind w:left="114"/>
              <w:spacing w:before="223"/>
              <w:rPr/>
            </w:pPr>
            <w:r>
              <w:rPr>
                <w:spacing w:val="-3"/>
              </w:rPr>
              <w:t>71~80</w:t>
            </w:r>
          </w:p>
        </w:tc>
        <w:tc>
          <w:tcPr>
            <w:tcW w:w="1259" w:type="dxa"/>
            <w:vAlign w:val="top"/>
          </w:tcPr>
          <w:p>
            <w:pPr>
              <w:pStyle w:val="TableText"/>
              <w:ind w:left="452"/>
              <w:spacing w:before="223" w:line="227" w:lineRule="auto"/>
              <w:rPr/>
            </w:pPr>
            <w:r>
              <w:rPr>
                <w:spacing w:val="-4"/>
              </w:rPr>
              <w:t>通过</w:t>
            </w:r>
          </w:p>
        </w:tc>
        <w:tc>
          <w:tcPr>
            <w:tcW w:w="4052" w:type="dxa"/>
            <w:vAlign w:val="top"/>
          </w:tcPr>
          <w:p>
            <w:pPr>
              <w:pStyle w:val="TableText"/>
              <w:ind w:left="125" w:right="108" w:hanging="11"/>
              <w:spacing w:before="68" w:line="282" w:lineRule="auto"/>
              <w:rPr/>
            </w:pPr>
            <w:r>
              <w:rPr>
                <w:spacing w:val="-2"/>
              </w:rPr>
              <w:t>最低满足县区级非遗基础门槛，具备商标 + </w:t>
            </w:r>
            <w:r>
              <w:rPr>
                <w:spacing w:val="-3"/>
              </w:rPr>
              <w:t>至少</w:t>
            </w:r>
            <w:r>
              <w:rPr>
                <w:spacing w:val="-1"/>
              </w:rPr>
              <w:t>1 项配套知识产权，基础传承与简单创新落地</w:t>
            </w:r>
          </w:p>
        </w:tc>
      </w:tr>
      <w:tr>
        <w:trPr>
          <w:trHeight w:val="632" w:hRule="atLeast"/>
        </w:trPr>
        <w:tc>
          <w:tcPr>
            <w:tcW w:w="2134" w:type="dxa"/>
            <w:vAlign w:val="top"/>
          </w:tcPr>
          <w:p>
            <w:pPr>
              <w:pStyle w:val="TableText"/>
              <w:ind w:left="804"/>
              <w:spacing w:before="227" w:line="222" w:lineRule="auto"/>
              <w:rPr/>
            </w:pPr>
            <w:r>
              <w:rPr>
                <w:spacing w:val="-4"/>
              </w:rPr>
              <w:t>不通过</w:t>
            </w:r>
          </w:p>
        </w:tc>
        <w:tc>
          <w:tcPr>
            <w:tcW w:w="1081" w:type="dxa"/>
            <w:vAlign w:val="top"/>
          </w:tcPr>
          <w:p>
            <w:pPr>
              <w:pStyle w:val="TableText"/>
              <w:ind w:left="115" w:right="161" w:hanging="1"/>
              <w:spacing w:before="72" w:line="282" w:lineRule="auto"/>
              <w:rPr/>
            </w:pPr>
            <w:r>
              <w:rPr>
                <w:spacing w:val="-4"/>
              </w:rPr>
              <w:t>70</w:t>
            </w:r>
            <w:r>
              <w:rPr>
                <w:spacing w:val="9"/>
              </w:rPr>
              <w:t xml:space="preserve"> </w:t>
            </w:r>
            <w:r>
              <w:rPr>
                <w:spacing w:val="-4"/>
              </w:rPr>
              <w:t>分及以</w:t>
            </w:r>
            <w:r>
              <w:rPr/>
              <w:t>下</w:t>
            </w:r>
          </w:p>
        </w:tc>
        <w:tc>
          <w:tcPr>
            <w:tcW w:w="1259" w:type="dxa"/>
            <w:vAlign w:val="top"/>
          </w:tcPr>
          <w:p>
            <w:pPr>
              <w:pStyle w:val="TableText"/>
              <w:ind w:left="366"/>
              <w:spacing w:before="227" w:line="220" w:lineRule="auto"/>
              <w:rPr/>
            </w:pPr>
            <w:r>
              <w:rPr>
                <w:spacing w:val="-4"/>
              </w:rPr>
              <w:t>未达标</w:t>
            </w:r>
          </w:p>
        </w:tc>
        <w:tc>
          <w:tcPr>
            <w:tcW w:w="4052" w:type="dxa"/>
            <w:vAlign w:val="top"/>
          </w:tcPr>
          <w:p>
            <w:pPr>
              <w:pStyle w:val="TableText"/>
              <w:ind w:left="114" w:right="161"/>
              <w:spacing w:before="72" w:line="282" w:lineRule="auto"/>
              <w:rPr/>
            </w:pPr>
            <w:r>
              <w:rPr>
                <w:spacing w:val="-1"/>
              </w:rPr>
              <w:t>或传承断层、创新成果薄弱、知识产权布局不完</w:t>
            </w:r>
            <w:r>
              <w:rPr>
                <w:spacing w:val="-1"/>
              </w:rPr>
              <w:t>善、地域文化佐证缺失</w:t>
            </w:r>
          </w:p>
        </w:tc>
      </w:tr>
    </w:tbl>
    <w:p>
      <w:pPr>
        <w:pStyle w:val="BodyText"/>
        <w:rPr/>
      </w:pPr>
      <w:r/>
    </w:p>
    <w:p>
      <w:pPr>
        <w:sectPr>
          <w:footerReference w:type="default" r:id="rId25"/>
          <w:pgSz w:w="11906" w:h="16839"/>
          <w:pgMar w:top="400" w:right="1785" w:bottom="1000" w:left="1475" w:header="0" w:footer="836" w:gutter="0"/>
        </w:sectPr>
        <w:rPr/>
      </w:pPr>
    </w:p>
    <w:p>
      <w:pPr>
        <w:pStyle w:val="BodyText"/>
        <w:spacing w:line="249" w:lineRule="auto"/>
        <w:rPr/>
      </w:pPr>
      <w:r/>
    </w:p>
    <w:p>
      <w:pPr>
        <w:pStyle w:val="BodyText"/>
        <w:spacing w:line="250" w:lineRule="auto"/>
        <w:rPr/>
      </w:pPr>
      <w:r/>
    </w:p>
    <w:p>
      <w:pPr>
        <w:pStyle w:val="BodyText"/>
        <w:spacing w:line="250" w:lineRule="auto"/>
        <w:rPr/>
      </w:pPr>
      <w:r/>
    </w:p>
    <w:p>
      <w:pPr>
        <w:pStyle w:val="BodyText"/>
        <w:spacing w:line="250" w:lineRule="auto"/>
        <w:rPr/>
      </w:pPr>
      <w:r/>
    </w:p>
    <w:p>
      <w:pPr>
        <w:ind w:left="1217"/>
        <w:spacing w:before="65" w:line="229" w:lineRule="auto"/>
        <w:outlineLvl w:val="0"/>
        <w:rPr>
          <w:rFonts w:ascii="SimHei" w:hAnsi="SimHei" w:eastAsia="SimHei" w:cs="SimHei"/>
          <w:sz w:val="20"/>
          <w:szCs w:val="20"/>
        </w:rPr>
      </w:pPr>
      <w:bookmarkStart w:name="bookmark17" w:id="20"/>
      <w:bookmarkEnd w:id="20"/>
      <w:r>
        <w:rPr>
          <w:rFonts w:ascii="SimHei" w:hAnsi="SimHei" w:eastAsia="SimHei" w:cs="SimHei"/>
          <w:sz w:val="20"/>
          <w:szCs w:val="20"/>
          <w:spacing w:val="9"/>
        </w:rPr>
        <w:t>附录</w:t>
      </w:r>
      <w:r>
        <w:rPr>
          <w:rFonts w:ascii="SimHei" w:hAnsi="SimHei" w:eastAsia="SimHei" w:cs="SimHei"/>
          <w:sz w:val="20"/>
          <w:szCs w:val="20"/>
          <w:spacing w:val="9"/>
        </w:rPr>
        <w:t xml:space="preserve"> </w:t>
      </w:r>
      <w:r>
        <w:rPr>
          <w:rFonts w:ascii="Times New Roman" w:hAnsi="Times New Roman" w:eastAsia="Times New Roman" w:cs="Times New Roman"/>
          <w:sz w:val="20"/>
          <w:szCs w:val="20"/>
          <w:spacing w:val="9"/>
        </w:rPr>
        <w:t>E</w:t>
      </w:r>
      <w:r>
        <w:rPr>
          <w:rFonts w:ascii="SimHei" w:hAnsi="SimHei" w:eastAsia="SimHei" w:cs="SimHei"/>
          <w:sz w:val="20"/>
          <w:szCs w:val="20"/>
          <w:spacing w:val="9"/>
        </w:rPr>
        <w:t>（资料性）持续推动中国非物质文化遗产创新品牌竞争力提升</w:t>
      </w:r>
    </w:p>
    <w:p>
      <w:pPr>
        <w:spacing w:before="181" w:line="230" w:lineRule="auto"/>
        <w:rPr>
          <w:rFonts w:ascii="SimHei" w:hAnsi="SimHei" w:eastAsia="SimHei" w:cs="SimHei"/>
          <w:sz w:val="20"/>
          <w:szCs w:val="20"/>
        </w:rPr>
      </w:pPr>
      <w:r>
        <w:rPr>
          <w:rFonts w:ascii="Times New Roman" w:hAnsi="Times New Roman" w:eastAsia="Times New Roman" w:cs="Times New Roman"/>
          <w:sz w:val="20"/>
          <w:szCs w:val="20"/>
          <w:spacing w:val="2"/>
        </w:rPr>
        <w:t>E.0</w:t>
      </w:r>
      <w:r>
        <w:rPr>
          <w:rFonts w:ascii="Times New Roman" w:hAnsi="Times New Roman" w:eastAsia="Times New Roman" w:cs="Times New Roman"/>
          <w:sz w:val="20"/>
          <w:szCs w:val="20"/>
          <w:spacing w:val="9"/>
        </w:rPr>
        <w:t xml:space="preserve">  </w:t>
      </w:r>
      <w:r>
        <w:rPr>
          <w:rFonts w:ascii="SimHei" w:hAnsi="SimHei" w:eastAsia="SimHei" w:cs="SimHei"/>
          <w:sz w:val="20"/>
          <w:szCs w:val="20"/>
          <w:spacing w:val="2"/>
        </w:rPr>
        <w:t>总则</w:t>
      </w:r>
    </w:p>
    <w:p>
      <w:pPr>
        <w:pStyle w:val="BodyText"/>
        <w:spacing w:line="292" w:lineRule="auto"/>
        <w:rPr/>
      </w:pPr>
      <w:r/>
    </w:p>
    <w:p>
      <w:pPr>
        <w:ind w:left="6" w:right="73" w:hanging="2"/>
        <w:spacing w:before="65" w:line="334" w:lineRule="auto"/>
        <w:rPr>
          <w:rFonts w:ascii="SimSun" w:hAnsi="SimSun" w:eastAsia="SimSun" w:cs="SimSun"/>
          <w:sz w:val="20"/>
          <w:szCs w:val="20"/>
        </w:rPr>
      </w:pPr>
      <w:r>
        <w:rPr>
          <w:rFonts w:ascii="SimSun" w:hAnsi="SimSun" w:eastAsia="SimSun" w:cs="SimSun"/>
          <w:sz w:val="20"/>
          <w:szCs w:val="20"/>
          <w:spacing w:val="8"/>
        </w:rPr>
        <w:t>本附录所给出的附加信息旨在加强对本文件的理解</w:t>
      </w:r>
      <w:r>
        <w:rPr>
          <w:rFonts w:ascii="SimSun" w:hAnsi="SimSun" w:eastAsia="SimSun" w:cs="SimSun"/>
          <w:sz w:val="20"/>
          <w:szCs w:val="20"/>
          <w:spacing w:val="7"/>
        </w:rPr>
        <w:t>和实施效果。这些信息的阐述与文件要求保持</w:t>
      </w:r>
      <w:r>
        <w:rPr>
          <w:rFonts w:ascii="SimSun" w:hAnsi="SimSun" w:eastAsia="SimSun" w:cs="SimSun"/>
          <w:sz w:val="20"/>
          <w:szCs w:val="20"/>
          <w:spacing w:val="8"/>
        </w:rPr>
        <w:t>一致，是连贯性说明和指导。</w:t>
      </w:r>
    </w:p>
    <w:p>
      <w:pPr>
        <w:ind w:left="3" w:right="71"/>
        <w:spacing w:before="159" w:line="334" w:lineRule="auto"/>
        <w:jc w:val="both"/>
        <w:rPr>
          <w:rFonts w:ascii="SimSun" w:hAnsi="SimSun" w:eastAsia="SimSun" w:cs="SimSun"/>
          <w:sz w:val="20"/>
          <w:szCs w:val="20"/>
        </w:rPr>
      </w:pPr>
      <w:r>
        <w:rPr>
          <w:rFonts w:ascii="SimSun" w:hAnsi="SimSun" w:eastAsia="SimSun" w:cs="SimSun"/>
          <w:sz w:val="20"/>
          <w:szCs w:val="20"/>
          <w:spacing w:val="8"/>
        </w:rPr>
        <w:t>本文件所包含的要求需要起源地文化传播（北京）</w:t>
      </w:r>
      <w:r>
        <w:rPr>
          <w:rFonts w:ascii="SimSun" w:hAnsi="SimSun" w:eastAsia="SimSun" w:cs="SimSun"/>
          <w:sz w:val="20"/>
          <w:szCs w:val="20"/>
          <w:spacing w:val="7"/>
        </w:rPr>
        <w:t>中心标准化管理办公室重视中国非物质文化遗</w:t>
      </w:r>
      <w:r>
        <w:rPr>
          <w:rFonts w:ascii="SimSun" w:hAnsi="SimSun" w:eastAsia="SimSun" w:cs="SimSun"/>
          <w:sz w:val="20"/>
          <w:szCs w:val="20"/>
          <w:spacing w:val="10"/>
        </w:rPr>
        <w:t>产创新品牌的持 久生命力，从系统或整体的角度进行考虑，从质量管理水平、创新能力、服务</w:t>
      </w:r>
      <w:r>
        <w:rPr>
          <w:rFonts w:ascii="SimSun" w:hAnsi="SimSun" w:eastAsia="SimSun" w:cs="SimSun"/>
          <w:sz w:val="20"/>
          <w:szCs w:val="20"/>
          <w:spacing w:val="10"/>
        </w:rPr>
        <w:t>水平、有形和无形要素价 值提升及知识产权保护等方面着手，持续提升中国非物质文化遗产创</w:t>
      </w:r>
      <w:r>
        <w:rPr>
          <w:rFonts w:ascii="SimSun" w:hAnsi="SimSun" w:eastAsia="SimSun" w:cs="SimSun"/>
          <w:sz w:val="20"/>
          <w:szCs w:val="20"/>
          <w:spacing w:val="7"/>
        </w:rPr>
        <w:t>新品牌的竞争力。</w:t>
      </w:r>
    </w:p>
    <w:p>
      <w:pPr>
        <w:spacing w:before="113" w:line="230" w:lineRule="auto"/>
        <w:rPr>
          <w:rFonts w:ascii="SimHei" w:hAnsi="SimHei" w:eastAsia="SimHei" w:cs="SimHei"/>
          <w:sz w:val="20"/>
          <w:szCs w:val="20"/>
        </w:rPr>
      </w:pPr>
      <w:r>
        <w:rPr>
          <w:rFonts w:ascii="Times New Roman" w:hAnsi="Times New Roman" w:eastAsia="Times New Roman" w:cs="Times New Roman"/>
          <w:sz w:val="20"/>
          <w:szCs w:val="20"/>
          <w:spacing w:val="4"/>
        </w:rPr>
        <w:t>E.</w:t>
      </w:r>
      <w:r>
        <w:rPr>
          <w:rFonts w:ascii="Times New Roman" w:hAnsi="Times New Roman" w:eastAsia="Times New Roman" w:cs="Times New Roman"/>
          <w:sz w:val="20"/>
          <w:szCs w:val="20"/>
          <w:spacing w:val="-24"/>
        </w:rPr>
        <w:t xml:space="preserve"> </w:t>
      </w:r>
      <w:r>
        <w:rPr>
          <w:rFonts w:ascii="Times New Roman" w:hAnsi="Times New Roman" w:eastAsia="Times New Roman" w:cs="Times New Roman"/>
          <w:sz w:val="20"/>
          <w:szCs w:val="20"/>
          <w:spacing w:val="4"/>
        </w:rPr>
        <w:t>1 </w:t>
      </w:r>
      <w:r>
        <w:rPr>
          <w:rFonts w:ascii="SimHei" w:hAnsi="SimHei" w:eastAsia="SimHei" w:cs="SimHei"/>
          <w:sz w:val="20"/>
          <w:szCs w:val="20"/>
          <w:spacing w:val="4"/>
        </w:rPr>
        <w:t>提升质量水平</w:t>
      </w:r>
    </w:p>
    <w:p>
      <w:pPr>
        <w:pStyle w:val="BodyText"/>
        <w:spacing w:line="292" w:lineRule="auto"/>
        <w:rPr/>
      </w:pPr>
      <w:r/>
    </w:p>
    <w:p>
      <w:pPr>
        <w:ind w:left="6" w:right="70" w:hanging="2"/>
        <w:spacing w:before="66" w:line="334" w:lineRule="auto"/>
        <w:rPr>
          <w:rFonts w:ascii="SimSun" w:hAnsi="SimSun" w:eastAsia="SimSun" w:cs="SimSun"/>
          <w:sz w:val="20"/>
          <w:szCs w:val="20"/>
        </w:rPr>
      </w:pPr>
      <w:r>
        <w:rPr>
          <w:rFonts w:ascii="SimSun" w:hAnsi="SimSun" w:eastAsia="SimSun" w:cs="SimSun"/>
          <w:sz w:val="20"/>
          <w:szCs w:val="20"/>
          <w:spacing w:val="8"/>
        </w:rPr>
        <w:t>起源地文化传播（北京）中心标准化管理办公室宜采取</w:t>
      </w:r>
      <w:r>
        <w:rPr>
          <w:rFonts w:ascii="SimSun" w:hAnsi="SimSun" w:eastAsia="SimSun" w:cs="SimSun"/>
          <w:sz w:val="20"/>
          <w:szCs w:val="20"/>
          <w:spacing w:val="7"/>
        </w:rPr>
        <w:t>多种质量管理措施，推动相关企事业单位</w:t>
      </w:r>
      <w:r>
        <w:rPr>
          <w:rFonts w:ascii="SimSun" w:hAnsi="SimSun" w:eastAsia="SimSun" w:cs="SimSun"/>
          <w:sz w:val="20"/>
          <w:szCs w:val="20"/>
          <w:spacing w:val="9"/>
        </w:rPr>
        <w:t>不 断提升质量管理水平及其产品与服务的质量水平。质量管理措施包括但不限于以下方面：</w:t>
      </w:r>
    </w:p>
    <w:p>
      <w:pPr>
        <w:ind w:left="8" w:right="71" w:hanging="4"/>
        <w:spacing w:before="160" w:line="334" w:lineRule="auto"/>
        <w:rPr>
          <w:rFonts w:ascii="SimSun" w:hAnsi="SimSun" w:eastAsia="SimSun" w:cs="SimSun"/>
          <w:sz w:val="20"/>
          <w:szCs w:val="20"/>
        </w:rPr>
      </w:pPr>
      <w:r>
        <w:rPr>
          <w:rFonts w:ascii="SimSun" w:hAnsi="SimSun" w:eastAsia="SimSun" w:cs="SimSun"/>
          <w:sz w:val="20"/>
          <w:szCs w:val="20"/>
          <w:spacing w:val="10"/>
        </w:rPr>
        <w:t>a）建立质量激励机制，鼓励企事业单位树立质量第一的理念，不断提升员工的质量意</w:t>
      </w:r>
      <w:r>
        <w:rPr>
          <w:rFonts w:ascii="SimSun" w:hAnsi="SimSun" w:eastAsia="SimSun" w:cs="SimSun"/>
          <w:sz w:val="20"/>
          <w:szCs w:val="20"/>
          <w:spacing w:val="9"/>
        </w:rPr>
        <w:t>识，将诚</w:t>
      </w:r>
      <w:r>
        <w:rPr>
          <w:rFonts w:ascii="SimSun" w:hAnsi="SimSun" w:eastAsia="SimSun" w:cs="SimSun"/>
          <w:sz w:val="20"/>
          <w:szCs w:val="20"/>
          <w:spacing w:val="10"/>
        </w:rPr>
        <w:t>实守 信、一丝不苟、持续改进、创新发展、追求卓越的质量精神转化为员工的行</w:t>
      </w:r>
      <w:r>
        <w:rPr>
          <w:rFonts w:ascii="SimSun" w:hAnsi="SimSun" w:eastAsia="SimSun" w:cs="SimSun"/>
          <w:sz w:val="20"/>
          <w:szCs w:val="20"/>
          <w:spacing w:val="9"/>
        </w:rPr>
        <w:t>为准则，大力</w:t>
      </w:r>
      <w:r>
        <w:rPr>
          <w:rFonts w:ascii="SimSun" w:hAnsi="SimSun" w:eastAsia="SimSun" w:cs="SimSun"/>
          <w:sz w:val="20"/>
          <w:szCs w:val="20"/>
          <w:spacing w:val="6"/>
        </w:rPr>
        <w:t>弘扬工匠精神；</w:t>
      </w:r>
    </w:p>
    <w:p>
      <w:pPr>
        <w:ind w:left="2" w:right="71" w:hanging="2"/>
        <w:spacing w:before="159" w:line="334" w:lineRule="auto"/>
        <w:rPr>
          <w:rFonts w:ascii="SimSun" w:hAnsi="SimSun" w:eastAsia="SimSun" w:cs="SimSun"/>
          <w:sz w:val="20"/>
          <w:szCs w:val="20"/>
        </w:rPr>
      </w:pPr>
      <w:r>
        <w:rPr>
          <w:rFonts w:ascii="SimSun" w:hAnsi="SimSun" w:eastAsia="SimSun" w:cs="SimSun"/>
          <w:sz w:val="20"/>
          <w:szCs w:val="20"/>
          <w:spacing w:val="10"/>
        </w:rPr>
        <w:t>b）鼓励企事业单位采用高于国际标准、国家标准、行业标准、团体标准、企业标准或明显具有</w:t>
      </w:r>
      <w:r>
        <w:rPr>
          <w:rFonts w:ascii="SimSun" w:hAnsi="SimSun" w:eastAsia="SimSun" w:cs="SimSun"/>
          <w:sz w:val="20"/>
          <w:szCs w:val="20"/>
          <w:spacing w:val="10"/>
        </w:rPr>
        <w:t>市场 优势的其他先进标准，提高产品技术性能、经济性能、实用性能和社会性能，满足顾客多</w:t>
      </w:r>
      <w:r>
        <w:rPr>
          <w:rFonts w:ascii="SimSun" w:hAnsi="SimSun" w:eastAsia="SimSun" w:cs="SimSun"/>
          <w:sz w:val="20"/>
          <w:szCs w:val="20"/>
          <w:spacing w:val="8"/>
        </w:rPr>
        <w:t>样化的需求， 提升顾客满意度；</w:t>
      </w:r>
    </w:p>
    <w:p>
      <w:pPr>
        <w:ind w:left="4" w:right="18" w:firstLine="3"/>
        <w:spacing w:before="156" w:line="336" w:lineRule="auto"/>
        <w:rPr>
          <w:rFonts w:ascii="SimSun" w:hAnsi="SimSun" w:eastAsia="SimSun" w:cs="SimSun"/>
          <w:sz w:val="20"/>
          <w:szCs w:val="20"/>
        </w:rPr>
      </w:pPr>
      <w:r>
        <w:rPr>
          <w:rFonts w:ascii="SimSun" w:hAnsi="SimSun" w:eastAsia="SimSun" w:cs="SimSun"/>
          <w:sz w:val="20"/>
          <w:szCs w:val="20"/>
          <w:spacing w:val="6"/>
        </w:rPr>
        <w:t>c）围绕中国非物质文化遗产创新品牌产品或服务的关键质量特性要求制定团体标准并不断更新，</w:t>
      </w:r>
      <w:r>
        <w:rPr>
          <w:rFonts w:ascii="SimSun" w:hAnsi="SimSun" w:eastAsia="SimSun" w:cs="SimSun"/>
          <w:sz w:val="20"/>
          <w:szCs w:val="20"/>
          <w:spacing w:val="9"/>
        </w:rPr>
        <w:t>逐步推动区域企 事业单位达到团体标准要求，进而提高区域产业整体质量水平；</w:t>
      </w:r>
    </w:p>
    <w:p>
      <w:pPr>
        <w:ind w:left="4" w:firstLine="3"/>
        <w:spacing w:before="155" w:line="336" w:lineRule="auto"/>
        <w:rPr>
          <w:rFonts w:ascii="SimSun" w:hAnsi="SimSun" w:eastAsia="SimSun" w:cs="SimSun"/>
          <w:sz w:val="20"/>
          <w:szCs w:val="20"/>
        </w:rPr>
      </w:pPr>
      <w:r>
        <w:rPr>
          <w:rFonts w:ascii="SimSun" w:hAnsi="SimSun" w:eastAsia="SimSun" w:cs="SimSun"/>
          <w:sz w:val="20"/>
          <w:szCs w:val="20"/>
          <w:spacing w:val="7"/>
        </w:rPr>
        <w:t>d）鼓励企事业单位全员在生产经营全过程中，全方位开展质量</w:t>
      </w:r>
      <w:r>
        <w:rPr>
          <w:rFonts w:ascii="SimSun" w:hAnsi="SimSun" w:eastAsia="SimSun" w:cs="SimSun"/>
          <w:sz w:val="20"/>
          <w:szCs w:val="20"/>
          <w:spacing w:val="6"/>
        </w:rPr>
        <w:t>改进、质量比对、质量风险分析、</w:t>
      </w:r>
      <w:r>
        <w:rPr>
          <w:rFonts w:ascii="SimSun" w:hAnsi="SimSun" w:eastAsia="SimSun" w:cs="SimSun"/>
          <w:sz w:val="20"/>
          <w:szCs w:val="20"/>
          <w:spacing w:val="8"/>
        </w:rPr>
        <w:t>质 量成本控制等质量管理小组活动；</w:t>
      </w:r>
    </w:p>
    <w:p>
      <w:pPr>
        <w:ind w:left="3" w:right="71" w:firstLine="5"/>
        <w:spacing w:before="157" w:line="334" w:lineRule="auto"/>
        <w:rPr>
          <w:rFonts w:ascii="SimSun" w:hAnsi="SimSun" w:eastAsia="SimSun" w:cs="SimSun"/>
          <w:sz w:val="20"/>
          <w:szCs w:val="20"/>
        </w:rPr>
      </w:pPr>
      <w:r>
        <w:rPr>
          <w:rFonts w:ascii="SimSun" w:hAnsi="SimSun" w:eastAsia="SimSun" w:cs="SimSun"/>
          <w:sz w:val="20"/>
          <w:szCs w:val="20"/>
          <w:spacing w:val="10"/>
        </w:rPr>
        <w:t>e）强化企事业单位质量主体责任，鼓励企事业单位建立严格的质量管理制度</w:t>
      </w:r>
      <w:r>
        <w:rPr>
          <w:rFonts w:ascii="SimSun" w:hAnsi="SimSun" w:eastAsia="SimSun" w:cs="SimSun"/>
          <w:sz w:val="20"/>
          <w:szCs w:val="20"/>
          <w:spacing w:val="9"/>
        </w:rPr>
        <w:t>，包括为确保产品</w:t>
      </w:r>
      <w:r>
        <w:rPr>
          <w:rFonts w:ascii="SimSun" w:hAnsi="SimSun" w:eastAsia="SimSun" w:cs="SimSun"/>
          <w:sz w:val="20"/>
          <w:szCs w:val="20"/>
          <w:spacing w:val="10"/>
        </w:rPr>
        <w:t>品牌 指标全面达到国家强制性标准或服务规范要求建立严格的质量检验制度与质量安全关键岗</w:t>
      </w:r>
      <w:r>
        <w:rPr>
          <w:rFonts w:ascii="SimSun" w:hAnsi="SimSun" w:eastAsia="SimSun" w:cs="SimSun"/>
          <w:sz w:val="20"/>
          <w:szCs w:val="20"/>
          <w:spacing w:val="6"/>
        </w:rPr>
        <w:t>位责任制度；</w:t>
      </w:r>
    </w:p>
    <w:p>
      <w:pPr>
        <w:ind w:left="4" w:right="73" w:firstLine="2"/>
        <w:spacing w:before="157" w:line="336" w:lineRule="auto"/>
        <w:rPr>
          <w:rFonts w:ascii="SimSun" w:hAnsi="SimSun" w:eastAsia="SimSun" w:cs="SimSun"/>
          <w:sz w:val="20"/>
          <w:szCs w:val="20"/>
        </w:rPr>
      </w:pPr>
      <w:r>
        <w:rPr>
          <w:rFonts w:ascii="SimSun" w:hAnsi="SimSun" w:eastAsia="SimSun" w:cs="SimSun"/>
          <w:sz w:val="20"/>
          <w:szCs w:val="20"/>
          <w:spacing w:val="10"/>
        </w:rPr>
        <w:t>f）结合区域产业特点，为区域产业持续发展培养专业的质量人才，尤其是一线</w:t>
      </w:r>
      <w:r>
        <w:rPr>
          <w:rFonts w:ascii="SimSun" w:hAnsi="SimSun" w:eastAsia="SimSun" w:cs="SimSun"/>
          <w:sz w:val="20"/>
          <w:szCs w:val="20"/>
          <w:spacing w:val="9"/>
        </w:rPr>
        <w:t>操作工人，不断</w:t>
      </w:r>
      <w:r>
        <w:rPr>
          <w:rFonts w:ascii="SimSun" w:hAnsi="SimSun" w:eastAsia="SimSun" w:cs="SimSun"/>
          <w:sz w:val="20"/>
          <w:szCs w:val="20"/>
          <w:spacing w:val="8"/>
        </w:rPr>
        <w:t>提升 区域企事业单位的全员的质量技能。</w:t>
      </w:r>
    </w:p>
    <w:p>
      <w:pPr>
        <w:spacing w:before="112" w:line="229" w:lineRule="auto"/>
        <w:rPr>
          <w:rFonts w:ascii="SimHei" w:hAnsi="SimHei" w:eastAsia="SimHei" w:cs="SimHei"/>
          <w:sz w:val="20"/>
          <w:szCs w:val="20"/>
        </w:rPr>
      </w:pPr>
      <w:r>
        <w:rPr>
          <w:rFonts w:ascii="Times New Roman" w:hAnsi="Times New Roman" w:eastAsia="Times New Roman" w:cs="Times New Roman"/>
          <w:sz w:val="20"/>
          <w:szCs w:val="20"/>
          <w:spacing w:val="6"/>
        </w:rPr>
        <w:t>E.2  </w:t>
      </w:r>
      <w:r>
        <w:rPr>
          <w:rFonts w:ascii="SimHei" w:hAnsi="SimHei" w:eastAsia="SimHei" w:cs="SimHei"/>
          <w:sz w:val="20"/>
          <w:szCs w:val="20"/>
          <w:spacing w:val="6"/>
        </w:rPr>
        <w:t>提升创新能力</w:t>
      </w:r>
    </w:p>
    <w:p>
      <w:pPr>
        <w:pStyle w:val="BodyText"/>
        <w:spacing w:line="294" w:lineRule="auto"/>
        <w:rPr/>
      </w:pPr>
      <w:r/>
    </w:p>
    <w:p>
      <w:pPr>
        <w:ind w:left="5" w:right="73" w:hanging="1"/>
        <w:spacing w:before="65" w:line="334" w:lineRule="auto"/>
        <w:rPr>
          <w:rFonts w:ascii="SimSun" w:hAnsi="SimSun" w:eastAsia="SimSun" w:cs="SimSun"/>
          <w:sz w:val="20"/>
          <w:szCs w:val="20"/>
        </w:rPr>
      </w:pPr>
      <w:r>
        <w:rPr>
          <w:rFonts w:ascii="SimSun" w:hAnsi="SimSun" w:eastAsia="SimSun" w:cs="SimSun"/>
          <w:sz w:val="20"/>
          <w:szCs w:val="20"/>
          <w:spacing w:val="8"/>
        </w:rPr>
        <w:t>起源地文化传播（北京）中心标准化管理办公室宜</w:t>
      </w:r>
      <w:r>
        <w:rPr>
          <w:rFonts w:ascii="SimSun" w:hAnsi="SimSun" w:eastAsia="SimSun" w:cs="SimSun"/>
          <w:sz w:val="20"/>
          <w:szCs w:val="20"/>
          <w:spacing w:val="7"/>
        </w:rPr>
        <w:t>不断提升创新能力满足市场需求的变化，可采</w:t>
      </w:r>
      <w:r>
        <w:rPr>
          <w:rFonts w:ascii="SimSun" w:hAnsi="SimSun" w:eastAsia="SimSun" w:cs="SimSun"/>
          <w:sz w:val="20"/>
          <w:szCs w:val="20"/>
          <w:spacing w:val="7"/>
        </w:rPr>
        <w:t>取 包括但不限于下列措施：</w:t>
      </w:r>
    </w:p>
    <w:p>
      <w:pPr>
        <w:ind w:left="2" w:right="73" w:firstLine="1"/>
        <w:spacing w:before="158" w:line="336" w:lineRule="auto"/>
        <w:rPr>
          <w:rFonts w:ascii="SimSun" w:hAnsi="SimSun" w:eastAsia="SimSun" w:cs="SimSun"/>
          <w:sz w:val="20"/>
          <w:szCs w:val="20"/>
        </w:rPr>
      </w:pPr>
      <w:r>
        <w:rPr>
          <w:rFonts w:ascii="SimSun" w:hAnsi="SimSun" w:eastAsia="SimSun" w:cs="SimSun"/>
          <w:sz w:val="20"/>
          <w:szCs w:val="20"/>
          <w:spacing w:val="10"/>
        </w:rPr>
        <w:t>a）宣传创新精神，以会展、论坛、研讨会、特色文艺活动、服务活动等方式营造良好</w:t>
      </w:r>
      <w:r>
        <w:rPr>
          <w:rFonts w:ascii="SimSun" w:hAnsi="SimSun" w:eastAsia="SimSun" w:cs="SimSun"/>
          <w:sz w:val="20"/>
          <w:szCs w:val="20"/>
          <w:spacing w:val="9"/>
        </w:rPr>
        <w:t>的创新创</w:t>
      </w:r>
      <w:r>
        <w:rPr>
          <w:rFonts w:ascii="SimSun" w:hAnsi="SimSun" w:eastAsia="SimSun" w:cs="SimSun"/>
          <w:sz w:val="20"/>
          <w:szCs w:val="20"/>
          <w:spacing w:val="5"/>
        </w:rPr>
        <w:t>业环境；</w:t>
      </w:r>
    </w:p>
    <w:p>
      <w:pPr>
        <w:spacing w:before="154" w:line="228" w:lineRule="auto"/>
        <w:jc w:val="right"/>
        <w:rPr>
          <w:rFonts w:ascii="SimSun" w:hAnsi="SimSun" w:eastAsia="SimSun" w:cs="SimSun"/>
          <w:sz w:val="20"/>
          <w:szCs w:val="20"/>
        </w:rPr>
      </w:pPr>
      <w:r>
        <w:rPr>
          <w:rFonts w:ascii="SimSun" w:hAnsi="SimSun" w:eastAsia="SimSun" w:cs="SimSun"/>
          <w:sz w:val="20"/>
          <w:szCs w:val="20"/>
          <w:spacing w:val="6"/>
        </w:rPr>
        <w:t>b）通过创新管理方法、管理模式、管理理念等方式引入中国非物质文化遗产创新品牌管理系统，</w:t>
      </w:r>
    </w:p>
    <w:p>
      <w:pPr>
        <w:spacing w:line="228" w:lineRule="auto"/>
        <w:sectPr>
          <w:footerReference w:type="default" r:id="rId26"/>
          <w:pgSz w:w="11906" w:h="16839"/>
          <w:pgMar w:top="400" w:right="1517" w:bottom="1001" w:left="1593" w:header="0" w:footer="836" w:gutter="0"/>
        </w:sectPr>
        <w:rPr>
          <w:rFonts w:ascii="SimSun" w:hAnsi="SimSun" w:eastAsia="SimSun" w:cs="SimSun"/>
          <w:sz w:val="20"/>
          <w:szCs w:val="20"/>
        </w:rPr>
      </w:pP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1" w:lineRule="auto"/>
        <w:rPr/>
      </w:pPr>
      <w:r/>
    </w:p>
    <w:p>
      <w:pPr>
        <w:ind w:left="8"/>
        <w:spacing w:before="65" w:line="228" w:lineRule="auto"/>
        <w:rPr>
          <w:rFonts w:ascii="SimSun" w:hAnsi="SimSun" w:eastAsia="SimSun" w:cs="SimSun"/>
          <w:sz w:val="20"/>
          <w:szCs w:val="20"/>
        </w:rPr>
      </w:pPr>
      <w:r>
        <w:rPr>
          <w:rFonts w:ascii="SimSun" w:hAnsi="SimSun" w:eastAsia="SimSun" w:cs="SimSun"/>
          <w:sz w:val="20"/>
          <w:szCs w:val="20"/>
          <w:spacing w:val="9"/>
        </w:rPr>
        <w:t>实施管理制度、管理方法或措施的创新设计，营造良好的创新制度环境；</w:t>
      </w:r>
    </w:p>
    <w:p>
      <w:pPr>
        <w:ind w:left="19" w:right="205" w:hanging="12"/>
        <w:spacing w:before="275" w:line="335" w:lineRule="auto"/>
        <w:rPr>
          <w:rFonts w:ascii="SimSun" w:hAnsi="SimSun" w:eastAsia="SimSun" w:cs="SimSun"/>
          <w:sz w:val="20"/>
          <w:szCs w:val="20"/>
        </w:rPr>
      </w:pPr>
      <w:r>
        <w:rPr>
          <w:rFonts w:ascii="SimSun" w:hAnsi="SimSun" w:eastAsia="SimSun" w:cs="SimSun"/>
          <w:sz w:val="20"/>
          <w:szCs w:val="20"/>
          <w:spacing w:val="10"/>
        </w:rPr>
        <w:t>c）鼓励企事业单位通过加大研发投入、建立研发中心等手段提升企业自主创</w:t>
      </w:r>
      <w:r>
        <w:rPr>
          <w:rFonts w:ascii="SimSun" w:hAnsi="SimSun" w:eastAsia="SimSun" w:cs="SimSun"/>
          <w:sz w:val="20"/>
          <w:szCs w:val="20"/>
          <w:spacing w:val="9"/>
        </w:rPr>
        <w:t>新能力，鼓励企业</w:t>
      </w:r>
      <w:r>
        <w:rPr>
          <w:rFonts w:ascii="SimSun" w:hAnsi="SimSun" w:eastAsia="SimSun" w:cs="SimSun"/>
          <w:sz w:val="20"/>
          <w:szCs w:val="20"/>
          <w:spacing w:val="7"/>
        </w:rPr>
        <w:t>间或企业与科研机构、高校之间开展联合创新，推动关键技术的突破，开发新产品，提高产品的</w:t>
      </w:r>
      <w:r>
        <w:rPr>
          <w:rFonts w:ascii="SimSun" w:hAnsi="SimSun" w:eastAsia="SimSun" w:cs="SimSun"/>
          <w:sz w:val="20"/>
          <w:szCs w:val="20"/>
          <w:spacing w:val="7"/>
        </w:rPr>
        <w:t>自主知识产权含量与质量水平；</w:t>
      </w:r>
    </w:p>
    <w:p>
      <w:pPr>
        <w:ind w:left="7"/>
        <w:spacing w:before="154" w:line="228" w:lineRule="auto"/>
        <w:rPr>
          <w:rFonts w:ascii="SimSun" w:hAnsi="SimSun" w:eastAsia="SimSun" w:cs="SimSun"/>
          <w:sz w:val="20"/>
          <w:szCs w:val="20"/>
        </w:rPr>
      </w:pPr>
      <w:r>
        <w:rPr>
          <w:rFonts w:ascii="SimSun" w:hAnsi="SimSun" w:eastAsia="SimSun" w:cs="SimSun"/>
          <w:sz w:val="20"/>
          <w:szCs w:val="20"/>
          <w:spacing w:val="9"/>
        </w:rPr>
        <w:t>d）鼓励企事业单位通过改进生产工艺、提升检测手段等方式进行生产工艺创新；</w:t>
      </w:r>
    </w:p>
    <w:p>
      <w:pPr>
        <w:ind w:left="7" w:right="208" w:firstLine="1"/>
        <w:spacing w:before="274" w:line="336" w:lineRule="auto"/>
        <w:rPr>
          <w:rFonts w:ascii="SimSun" w:hAnsi="SimSun" w:eastAsia="SimSun" w:cs="SimSun"/>
          <w:sz w:val="20"/>
          <w:szCs w:val="20"/>
        </w:rPr>
      </w:pPr>
      <w:r>
        <w:rPr>
          <w:rFonts w:ascii="SimSun" w:hAnsi="SimSun" w:eastAsia="SimSun" w:cs="SimSun"/>
          <w:sz w:val="20"/>
          <w:szCs w:val="20"/>
          <w:spacing w:val="10"/>
        </w:rPr>
        <w:t>e）采取多种措施吸引人才，扶持和奖励在技术创新上有突出贡献的企事业单</w:t>
      </w:r>
      <w:r>
        <w:rPr>
          <w:rFonts w:ascii="SimSun" w:hAnsi="SimSun" w:eastAsia="SimSun" w:cs="SimSun"/>
          <w:sz w:val="20"/>
          <w:szCs w:val="20"/>
          <w:spacing w:val="9"/>
        </w:rPr>
        <w:t>位和个人，有效激</w:t>
      </w:r>
      <w:r>
        <w:rPr>
          <w:rFonts w:ascii="SimSun" w:hAnsi="SimSun" w:eastAsia="SimSun" w:cs="SimSun"/>
          <w:sz w:val="20"/>
          <w:szCs w:val="20"/>
          <w:spacing w:val="8"/>
        </w:rPr>
        <w:t>发其创新积极性和主动性；</w:t>
      </w:r>
    </w:p>
    <w:p>
      <w:pPr>
        <w:ind w:left="7"/>
        <w:spacing w:before="154" w:line="227" w:lineRule="auto"/>
        <w:rPr>
          <w:rFonts w:ascii="SimSun" w:hAnsi="SimSun" w:eastAsia="SimSun" w:cs="SimSun"/>
          <w:sz w:val="20"/>
          <w:szCs w:val="20"/>
        </w:rPr>
      </w:pPr>
      <w:r>
        <w:rPr>
          <w:rFonts w:ascii="SimSun" w:hAnsi="SimSun" w:eastAsia="SimSun" w:cs="SimSun"/>
          <w:sz w:val="20"/>
          <w:szCs w:val="20"/>
          <w:spacing w:val="9"/>
        </w:rPr>
        <w:t>f）鼓励园区内符合条件的企业申请认定高新技术企业，并建立奖励补贴激励机制；</w:t>
      </w:r>
    </w:p>
    <w:p>
      <w:pPr>
        <w:ind w:left="7"/>
        <w:spacing w:before="275" w:line="222" w:lineRule="auto"/>
        <w:rPr>
          <w:rFonts w:ascii="SimSun" w:hAnsi="SimSun" w:eastAsia="SimSun" w:cs="SimSun"/>
          <w:sz w:val="20"/>
          <w:szCs w:val="20"/>
        </w:rPr>
      </w:pPr>
      <w:r>
        <w:rPr>
          <w:rFonts w:ascii="SimSun" w:hAnsi="SimSun" w:eastAsia="SimSun" w:cs="SimSun"/>
          <w:sz w:val="20"/>
          <w:szCs w:val="20"/>
          <w:spacing w:val="9"/>
        </w:rPr>
        <w:t>g）实施标准化战略，参与国际、国家与行业标准的制修订工作，掌握行业话语权。</w:t>
      </w:r>
    </w:p>
    <w:p>
      <w:pPr>
        <w:spacing w:before="235" w:line="229" w:lineRule="auto"/>
        <w:rPr>
          <w:rFonts w:ascii="SimHei" w:hAnsi="SimHei" w:eastAsia="SimHei" w:cs="SimHei"/>
          <w:sz w:val="20"/>
          <w:szCs w:val="20"/>
        </w:rPr>
      </w:pPr>
      <w:r>
        <w:rPr>
          <w:rFonts w:ascii="Times New Roman" w:hAnsi="Times New Roman" w:eastAsia="Times New Roman" w:cs="Times New Roman"/>
          <w:sz w:val="20"/>
          <w:szCs w:val="20"/>
          <w:spacing w:val="6"/>
        </w:rPr>
        <w:t>E.3  </w:t>
      </w:r>
      <w:r>
        <w:rPr>
          <w:rFonts w:ascii="SimHei" w:hAnsi="SimHei" w:eastAsia="SimHei" w:cs="SimHei"/>
          <w:sz w:val="20"/>
          <w:szCs w:val="20"/>
          <w:spacing w:val="6"/>
        </w:rPr>
        <w:t>提升服务水平</w:t>
      </w:r>
    </w:p>
    <w:p>
      <w:pPr>
        <w:pStyle w:val="BodyText"/>
        <w:spacing w:line="296" w:lineRule="auto"/>
        <w:rPr/>
      </w:pPr>
      <w:r/>
    </w:p>
    <w:p>
      <w:pPr>
        <w:ind w:left="1"/>
        <w:spacing w:before="66" w:line="228" w:lineRule="auto"/>
        <w:rPr>
          <w:rFonts w:ascii="SimSun" w:hAnsi="SimSun" w:eastAsia="SimSun" w:cs="SimSun"/>
          <w:sz w:val="20"/>
          <w:szCs w:val="20"/>
        </w:rPr>
      </w:pPr>
      <w:r>
        <w:rPr>
          <w:rFonts w:ascii="SimSun" w:hAnsi="SimSun" w:eastAsia="SimSun" w:cs="SimSun"/>
          <w:sz w:val="20"/>
          <w:szCs w:val="20"/>
          <w:spacing w:val="6"/>
        </w:rPr>
        <w:t>E.3.1 公共服务水平</w:t>
      </w:r>
    </w:p>
    <w:p>
      <w:pPr>
        <w:ind w:left="17" w:right="205" w:hanging="13"/>
        <w:spacing w:before="274" w:line="334" w:lineRule="auto"/>
        <w:rPr>
          <w:rFonts w:ascii="SimSun" w:hAnsi="SimSun" w:eastAsia="SimSun" w:cs="SimSun"/>
          <w:sz w:val="20"/>
          <w:szCs w:val="20"/>
        </w:rPr>
      </w:pPr>
      <w:r>
        <w:rPr>
          <w:rFonts w:ascii="SimSun" w:hAnsi="SimSun" w:eastAsia="SimSun" w:cs="SimSun"/>
          <w:sz w:val="20"/>
          <w:szCs w:val="20"/>
          <w:spacing w:val="8"/>
        </w:rPr>
        <w:t>起源地文化传播（北京）中心标准化管理办公室宜提升</w:t>
      </w:r>
      <w:r>
        <w:rPr>
          <w:rFonts w:ascii="SimSun" w:hAnsi="SimSun" w:eastAsia="SimSun" w:cs="SimSun"/>
          <w:sz w:val="20"/>
          <w:szCs w:val="20"/>
          <w:spacing w:val="7"/>
        </w:rPr>
        <w:t>区域内部公共服务水平，可采取包括但不</w:t>
      </w:r>
      <w:r>
        <w:rPr>
          <w:rFonts w:ascii="SimSun" w:hAnsi="SimSun" w:eastAsia="SimSun" w:cs="SimSun"/>
          <w:sz w:val="20"/>
          <w:szCs w:val="20"/>
          <w:spacing w:val="3"/>
        </w:rPr>
        <w:t>限</w:t>
      </w:r>
      <w:r>
        <w:rPr>
          <w:rFonts w:ascii="SimSun" w:hAnsi="SimSun" w:eastAsia="SimSun" w:cs="SimSun"/>
          <w:sz w:val="20"/>
          <w:szCs w:val="20"/>
          <w:spacing w:val="18"/>
        </w:rPr>
        <w:t xml:space="preserve"> </w:t>
      </w:r>
      <w:r>
        <w:rPr>
          <w:rFonts w:ascii="SimSun" w:hAnsi="SimSun" w:eastAsia="SimSun" w:cs="SimSun"/>
          <w:sz w:val="20"/>
          <w:szCs w:val="20"/>
          <w:spacing w:val="3"/>
        </w:rPr>
        <w:t>于下列措施：</w:t>
      </w:r>
    </w:p>
    <w:p>
      <w:pPr>
        <w:ind w:left="5" w:hanging="1"/>
        <w:spacing w:before="160" w:line="334" w:lineRule="auto"/>
        <w:rPr>
          <w:rFonts w:ascii="SimSun" w:hAnsi="SimSun" w:eastAsia="SimSun" w:cs="SimSun"/>
          <w:sz w:val="20"/>
          <w:szCs w:val="20"/>
        </w:rPr>
      </w:pPr>
      <w:r>
        <w:rPr>
          <w:rFonts w:ascii="SimSun" w:hAnsi="SimSun" w:eastAsia="SimSun" w:cs="SimSun"/>
          <w:sz w:val="20"/>
          <w:szCs w:val="20"/>
          <w:spacing w:val="9"/>
        </w:rPr>
        <w:t>a）推动持续改善营商环境，加快建设区域电子政务系统、质量风险预警指挥系统等“数字质量</w:t>
      </w:r>
      <w:r>
        <w:rPr>
          <w:rFonts w:ascii="SimSun" w:hAnsi="SimSun" w:eastAsia="SimSun" w:cs="SimSun"/>
          <w:sz w:val="20"/>
          <w:szCs w:val="20"/>
          <w:spacing w:val="-63"/>
        </w:rPr>
        <w:t xml:space="preserve"> </w:t>
      </w:r>
      <w:r>
        <w:rPr>
          <w:rFonts w:ascii="SimSun" w:hAnsi="SimSun" w:eastAsia="SimSun" w:cs="SimSun"/>
          <w:sz w:val="20"/>
          <w:szCs w:val="20"/>
          <w:spacing w:val="9"/>
        </w:rPr>
        <w:t>”</w:t>
      </w:r>
      <w:r>
        <w:rPr>
          <w:rFonts w:ascii="SimSun" w:hAnsi="SimSun" w:eastAsia="SimSun" w:cs="SimSun"/>
          <w:sz w:val="20"/>
          <w:szCs w:val="20"/>
          <w:spacing w:val="2"/>
        </w:rPr>
        <w:t>工程；</w:t>
      </w:r>
    </w:p>
    <w:p>
      <w:pPr>
        <w:spacing w:before="159" w:line="227" w:lineRule="auto"/>
        <w:rPr>
          <w:rFonts w:ascii="SimSun" w:hAnsi="SimSun" w:eastAsia="SimSun" w:cs="SimSun"/>
          <w:sz w:val="20"/>
          <w:szCs w:val="20"/>
        </w:rPr>
      </w:pPr>
      <w:r>
        <w:rPr>
          <w:rFonts w:ascii="SimSun" w:hAnsi="SimSun" w:eastAsia="SimSun" w:cs="SimSun"/>
          <w:sz w:val="20"/>
          <w:szCs w:val="20"/>
          <w:spacing w:val="9"/>
        </w:rPr>
        <w:t>b）协调沟通相关部门，不断创新渠道为区域企事业单位提供融资服务；</w:t>
      </w:r>
    </w:p>
    <w:p>
      <w:pPr>
        <w:ind w:left="4" w:right="151" w:firstLine="3"/>
        <w:spacing w:before="274" w:line="334" w:lineRule="auto"/>
        <w:rPr>
          <w:rFonts w:ascii="SimSun" w:hAnsi="SimSun" w:eastAsia="SimSun" w:cs="SimSun"/>
          <w:sz w:val="20"/>
          <w:szCs w:val="20"/>
        </w:rPr>
      </w:pPr>
      <w:r>
        <w:rPr>
          <w:rFonts w:ascii="SimSun" w:hAnsi="SimSun" w:eastAsia="SimSun" w:cs="SimSun"/>
          <w:sz w:val="20"/>
          <w:szCs w:val="20"/>
          <w:spacing w:val="10"/>
        </w:rPr>
        <w:t>c）不断加强配套产业建设，完善产业链布局；推动企业、行业协会、科研院</w:t>
      </w:r>
      <w:r>
        <w:rPr>
          <w:rFonts w:ascii="SimSun" w:hAnsi="SimSun" w:eastAsia="SimSun" w:cs="SimSun"/>
          <w:sz w:val="20"/>
          <w:szCs w:val="20"/>
          <w:spacing w:val="9"/>
        </w:rPr>
        <w:t>所、新闻媒体等各</w:t>
      </w:r>
      <w:r>
        <w:rPr>
          <w:rFonts w:ascii="SimSun" w:hAnsi="SimSun" w:eastAsia="SimSun" w:cs="SimSun"/>
          <w:sz w:val="20"/>
          <w:szCs w:val="20"/>
          <w:spacing w:val="8"/>
        </w:rPr>
        <w:t>方组织发挥各自的优势，以区域综合服务平台为依</w:t>
      </w:r>
      <w:r>
        <w:rPr>
          <w:rFonts w:ascii="SimSun" w:hAnsi="SimSun" w:eastAsia="SimSun" w:cs="SimSun"/>
          <w:sz w:val="20"/>
          <w:szCs w:val="20"/>
          <w:spacing w:val="7"/>
        </w:rPr>
        <w:t>托、专业服务平台为支撑，以解决共性需求为</w:t>
      </w:r>
      <w:r>
        <w:rPr>
          <w:rFonts w:ascii="SimSun" w:hAnsi="SimSun" w:eastAsia="SimSun" w:cs="SimSun"/>
          <w:sz w:val="20"/>
          <w:szCs w:val="20"/>
          <w:spacing w:val="9"/>
        </w:rPr>
        <w:t>重点，开展有利于中国非物质文化遗产创新品牌可持续发展的信息服务、管理咨询、</w:t>
      </w:r>
      <w:r>
        <w:rPr>
          <w:rFonts w:ascii="SimSun" w:hAnsi="SimSun" w:eastAsia="SimSun" w:cs="SimSun"/>
          <w:sz w:val="20"/>
          <w:szCs w:val="20"/>
          <w:spacing w:val="8"/>
        </w:rPr>
        <w:t>检验检测、</w:t>
      </w:r>
      <w:r>
        <w:rPr>
          <w:rFonts w:ascii="SimSun" w:hAnsi="SimSun" w:eastAsia="SimSun" w:cs="SimSun"/>
          <w:sz w:val="20"/>
          <w:szCs w:val="20"/>
          <w:spacing w:val="8"/>
        </w:rPr>
        <w:t>融资租赁、品牌营销、技术攻关等服务。</w:t>
      </w:r>
    </w:p>
    <w:p>
      <w:pPr>
        <w:ind w:left="1"/>
        <w:spacing w:before="159" w:line="228" w:lineRule="auto"/>
        <w:rPr>
          <w:rFonts w:ascii="SimSun" w:hAnsi="SimSun" w:eastAsia="SimSun" w:cs="SimSun"/>
          <w:sz w:val="20"/>
          <w:szCs w:val="20"/>
        </w:rPr>
      </w:pPr>
      <w:r>
        <w:rPr>
          <w:rFonts w:ascii="SimSun" w:hAnsi="SimSun" w:eastAsia="SimSun" w:cs="SimSun"/>
          <w:sz w:val="20"/>
          <w:szCs w:val="20"/>
          <w:spacing w:val="7"/>
        </w:rPr>
        <w:t>E.3.2 外部公共服务水平</w:t>
      </w:r>
    </w:p>
    <w:p>
      <w:pPr>
        <w:ind w:left="2" w:right="205" w:firstLine="2"/>
        <w:spacing w:before="274" w:line="334" w:lineRule="auto"/>
        <w:rPr>
          <w:rFonts w:ascii="SimSun" w:hAnsi="SimSun" w:eastAsia="SimSun" w:cs="SimSun"/>
          <w:sz w:val="20"/>
          <w:szCs w:val="20"/>
        </w:rPr>
      </w:pPr>
      <w:r>
        <w:rPr>
          <w:rFonts w:ascii="SimSun" w:hAnsi="SimSun" w:eastAsia="SimSun" w:cs="SimSun"/>
          <w:sz w:val="20"/>
          <w:szCs w:val="20"/>
          <w:spacing w:val="8"/>
        </w:rPr>
        <w:t>起源地文化传播（北京）中心标准化管理办公室宜不断</w:t>
      </w:r>
      <w:r>
        <w:rPr>
          <w:rFonts w:ascii="SimSun" w:hAnsi="SimSun" w:eastAsia="SimSun" w:cs="SimSun"/>
          <w:sz w:val="20"/>
          <w:szCs w:val="20"/>
          <w:spacing w:val="7"/>
        </w:rPr>
        <w:t>提升区域外部公共服务水平，可采取包括</w:t>
      </w:r>
      <w:r>
        <w:rPr>
          <w:rFonts w:ascii="SimSun" w:hAnsi="SimSun" w:eastAsia="SimSun" w:cs="SimSun"/>
          <w:sz w:val="20"/>
          <w:szCs w:val="20"/>
          <w:spacing w:val="7"/>
        </w:rPr>
        <w:t>但不限于下列措施：</w:t>
      </w:r>
    </w:p>
    <w:p>
      <w:pPr>
        <w:ind w:left="4"/>
        <w:spacing w:before="159" w:line="228" w:lineRule="auto"/>
        <w:rPr>
          <w:rFonts w:ascii="SimSun" w:hAnsi="SimSun" w:eastAsia="SimSun" w:cs="SimSun"/>
          <w:sz w:val="20"/>
          <w:szCs w:val="20"/>
        </w:rPr>
      </w:pPr>
      <w:r>
        <w:rPr>
          <w:rFonts w:ascii="SimSun" w:hAnsi="SimSun" w:eastAsia="SimSun" w:cs="SimSun"/>
          <w:sz w:val="20"/>
          <w:szCs w:val="20"/>
          <w:spacing w:val="8"/>
        </w:rPr>
        <w:t>a）建立产品品牌与服务售后服务管理制度；</w:t>
      </w:r>
    </w:p>
    <w:p>
      <w:pPr>
        <w:ind w:left="4" w:right="243" w:hanging="4"/>
        <w:spacing w:before="273" w:line="336" w:lineRule="auto"/>
        <w:rPr>
          <w:rFonts w:ascii="SimSun" w:hAnsi="SimSun" w:eastAsia="SimSun" w:cs="SimSun"/>
          <w:sz w:val="20"/>
          <w:szCs w:val="20"/>
        </w:rPr>
      </w:pPr>
      <w:r>
        <w:rPr>
          <w:rFonts w:ascii="SimSun" w:hAnsi="SimSun" w:eastAsia="SimSun" w:cs="SimSun"/>
          <w:sz w:val="20"/>
          <w:szCs w:val="20"/>
          <w:spacing w:val="9"/>
        </w:rPr>
        <w:t>b）及时搜集顾客关于产品与服务的需求与期望的信息，定期开展顾客满意度调查，为新产品、</w:t>
      </w:r>
      <w:r>
        <w:rPr>
          <w:rFonts w:ascii="SimSun" w:hAnsi="SimSun" w:eastAsia="SimSun" w:cs="SimSun"/>
          <w:sz w:val="20"/>
          <w:szCs w:val="20"/>
          <w:spacing w:val="9"/>
        </w:rPr>
        <w:t>新技术、新项目的开发与产品的改进提供数据、信息输入；</w:t>
      </w:r>
    </w:p>
    <w:p>
      <w:pPr>
        <w:ind w:right="468" w:firstLine="7"/>
        <w:spacing w:before="158" w:line="442" w:lineRule="auto"/>
        <w:rPr>
          <w:rFonts w:ascii="SimHei" w:hAnsi="SimHei" w:eastAsia="SimHei" w:cs="SimHei"/>
          <w:sz w:val="20"/>
          <w:szCs w:val="20"/>
        </w:rPr>
      </w:pPr>
      <w:r>
        <w:rPr>
          <w:rFonts w:ascii="SimSun" w:hAnsi="SimSun" w:eastAsia="SimSun" w:cs="SimSun"/>
          <w:sz w:val="20"/>
          <w:szCs w:val="20"/>
          <w:spacing w:val="9"/>
        </w:rPr>
        <w:t>c）建立完善的客户服务监督机制和顾客投诉处理机制</w:t>
      </w:r>
      <w:r>
        <w:rPr>
          <w:rFonts w:ascii="SimSun" w:hAnsi="SimSun" w:eastAsia="SimSun" w:cs="SimSun"/>
          <w:sz w:val="20"/>
          <w:szCs w:val="20"/>
          <w:spacing w:val="8"/>
        </w:rPr>
        <w:t>，重视顾客投诉管理，提升服务水平。</w:t>
      </w:r>
      <w:r>
        <w:rPr>
          <w:rFonts w:ascii="SimSun" w:hAnsi="SimSun" w:eastAsia="SimSun" w:cs="SimSun"/>
          <w:sz w:val="20"/>
          <w:szCs w:val="20"/>
        </w:rPr>
        <w:t xml:space="preserve"> </w:t>
      </w:r>
      <w:r>
        <w:rPr>
          <w:rFonts w:ascii="Times New Roman" w:hAnsi="Times New Roman" w:eastAsia="Times New Roman" w:cs="Times New Roman"/>
          <w:sz w:val="20"/>
          <w:szCs w:val="20"/>
          <w:spacing w:val="6"/>
        </w:rPr>
        <w:t>E.4  </w:t>
      </w:r>
      <w:r>
        <w:rPr>
          <w:rFonts w:ascii="SimHei" w:hAnsi="SimHei" w:eastAsia="SimHei" w:cs="SimHei"/>
          <w:sz w:val="20"/>
          <w:szCs w:val="20"/>
          <w:spacing w:val="6"/>
        </w:rPr>
        <w:t>提升有形要素价值</w:t>
      </w:r>
    </w:p>
    <w:p>
      <w:pPr>
        <w:ind w:left="7" w:right="208" w:hanging="3"/>
        <w:spacing w:before="126" w:line="336" w:lineRule="auto"/>
        <w:rPr>
          <w:rFonts w:ascii="SimSun" w:hAnsi="SimSun" w:eastAsia="SimSun" w:cs="SimSun"/>
          <w:sz w:val="20"/>
          <w:szCs w:val="20"/>
        </w:rPr>
      </w:pPr>
      <w:r>
        <w:rPr>
          <w:rFonts w:ascii="SimSun" w:hAnsi="SimSun" w:eastAsia="SimSun" w:cs="SimSun"/>
          <w:sz w:val="20"/>
          <w:szCs w:val="20"/>
          <w:spacing w:val="8"/>
        </w:rPr>
        <w:t>起源地文化传播（北京）中心标准化管理办公室宜</w:t>
      </w:r>
      <w:r>
        <w:rPr>
          <w:rFonts w:ascii="SimSun" w:hAnsi="SimSun" w:eastAsia="SimSun" w:cs="SimSun"/>
          <w:sz w:val="20"/>
          <w:szCs w:val="20"/>
          <w:spacing w:val="7"/>
        </w:rPr>
        <w:t>提升有形要素的价值，可采取包括但不限于下</w:t>
      </w:r>
      <w:r>
        <w:rPr>
          <w:rFonts w:ascii="SimSun" w:hAnsi="SimSun" w:eastAsia="SimSun" w:cs="SimSun"/>
          <w:sz w:val="20"/>
          <w:szCs w:val="20"/>
          <w:spacing w:val="4"/>
        </w:rPr>
        <w:t>列措施：</w:t>
      </w:r>
    </w:p>
    <w:p>
      <w:pPr>
        <w:spacing w:line="336" w:lineRule="auto"/>
        <w:sectPr>
          <w:footerReference w:type="default" r:id="rId27"/>
          <w:pgSz w:w="11906" w:h="16839"/>
          <w:pgMar w:top="400" w:right="1382" w:bottom="1000" w:left="1593" w:header="0" w:footer="836" w:gutter="0"/>
        </w:sectPr>
        <w:rPr>
          <w:rFonts w:ascii="SimSun" w:hAnsi="SimSun" w:eastAsia="SimSun" w:cs="SimSun"/>
          <w:sz w:val="20"/>
          <w:szCs w:val="20"/>
        </w:rPr>
      </w:pP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2" w:lineRule="auto"/>
        <w:rPr/>
      </w:pPr>
      <w:r/>
    </w:p>
    <w:p>
      <w:pPr>
        <w:ind w:left="4"/>
        <w:spacing w:before="65" w:line="334" w:lineRule="auto"/>
        <w:rPr>
          <w:rFonts w:ascii="SimSun" w:hAnsi="SimSun" w:eastAsia="SimSun" w:cs="SimSun"/>
          <w:sz w:val="20"/>
          <w:szCs w:val="20"/>
        </w:rPr>
      </w:pPr>
      <w:r>
        <w:rPr>
          <w:rFonts w:ascii="SimSun" w:hAnsi="SimSun" w:eastAsia="SimSun" w:cs="SimSun"/>
          <w:sz w:val="20"/>
          <w:szCs w:val="20"/>
          <w:spacing w:val="7"/>
        </w:rPr>
        <w:t>a）结合市场需求变化，不断挖掘区域内矿产资源、土地资源、人</w:t>
      </w:r>
      <w:r>
        <w:rPr>
          <w:rFonts w:ascii="SimSun" w:hAnsi="SimSun" w:eastAsia="SimSun" w:cs="SimSun"/>
          <w:sz w:val="20"/>
          <w:szCs w:val="20"/>
          <w:spacing w:val="6"/>
        </w:rPr>
        <w:t>文资源、水利资源、气候资源、</w:t>
      </w:r>
      <w:r>
        <w:rPr>
          <w:rFonts w:ascii="SimSun" w:hAnsi="SimSun" w:eastAsia="SimSun" w:cs="SimSun"/>
          <w:sz w:val="20"/>
          <w:szCs w:val="20"/>
          <w:spacing w:val="8"/>
        </w:rPr>
        <w:t>生物资源、区位地理、自然风光等自然资源禀赋特色，</w:t>
      </w:r>
      <w:r>
        <w:rPr>
          <w:rFonts w:ascii="SimSun" w:hAnsi="SimSun" w:eastAsia="SimSun" w:cs="SimSun"/>
          <w:sz w:val="20"/>
          <w:szCs w:val="20"/>
          <w:spacing w:val="7"/>
        </w:rPr>
        <w:t>赋予区域品牌个性内涵，不断提升区域品</w:t>
      </w:r>
      <w:r>
        <w:rPr>
          <w:rFonts w:ascii="SimSun" w:hAnsi="SimSun" w:eastAsia="SimSun" w:cs="SimSun"/>
          <w:sz w:val="20"/>
          <w:szCs w:val="20"/>
          <w:spacing w:val="4"/>
        </w:rPr>
        <w:t>牌形象；</w:t>
      </w:r>
    </w:p>
    <w:p>
      <w:pPr>
        <w:spacing w:before="158" w:line="227" w:lineRule="auto"/>
        <w:rPr>
          <w:rFonts w:ascii="SimSun" w:hAnsi="SimSun" w:eastAsia="SimSun" w:cs="SimSun"/>
          <w:sz w:val="20"/>
          <w:szCs w:val="20"/>
        </w:rPr>
      </w:pPr>
      <w:r>
        <w:rPr>
          <w:rFonts w:ascii="SimSun" w:hAnsi="SimSun" w:eastAsia="SimSun" w:cs="SimSun"/>
          <w:sz w:val="20"/>
          <w:szCs w:val="20"/>
          <w:spacing w:val="9"/>
        </w:rPr>
        <w:t>b）通过提升通信网络、供水供电与道路等基础设施水平，不断完善区域企事业单位办公环境；</w:t>
      </w:r>
    </w:p>
    <w:p>
      <w:pPr>
        <w:ind w:left="7"/>
        <w:spacing w:before="274" w:line="227" w:lineRule="auto"/>
        <w:rPr>
          <w:rFonts w:ascii="SimSun" w:hAnsi="SimSun" w:eastAsia="SimSun" w:cs="SimSun"/>
          <w:sz w:val="20"/>
          <w:szCs w:val="20"/>
        </w:rPr>
      </w:pPr>
      <w:r>
        <w:rPr>
          <w:rFonts w:ascii="SimSun" w:hAnsi="SimSun" w:eastAsia="SimSun" w:cs="SimSun"/>
          <w:sz w:val="20"/>
          <w:szCs w:val="20"/>
          <w:spacing w:val="9"/>
        </w:rPr>
        <w:t>c）不断完善有利于人才引进的人才政策，为促进区域企事业单位发展提供人才保障；</w:t>
      </w:r>
    </w:p>
    <w:p>
      <w:pPr>
        <w:ind w:left="7"/>
        <w:spacing w:before="274" w:line="228" w:lineRule="auto"/>
        <w:rPr>
          <w:rFonts w:ascii="SimSun" w:hAnsi="SimSun" w:eastAsia="SimSun" w:cs="SimSun"/>
          <w:sz w:val="20"/>
          <w:szCs w:val="20"/>
        </w:rPr>
      </w:pPr>
      <w:r>
        <w:rPr>
          <w:rFonts w:ascii="SimSun" w:hAnsi="SimSun" w:eastAsia="SimSun" w:cs="SimSun"/>
          <w:sz w:val="20"/>
          <w:szCs w:val="20"/>
          <w:spacing w:val="8"/>
        </w:rPr>
        <w:t>d）不断加大投入加强公共服务平台能力建设。</w:t>
      </w:r>
    </w:p>
    <w:p>
      <w:pPr>
        <w:spacing w:before="229" w:line="230" w:lineRule="auto"/>
        <w:rPr>
          <w:rFonts w:ascii="SimHei" w:hAnsi="SimHei" w:eastAsia="SimHei" w:cs="SimHei"/>
          <w:sz w:val="20"/>
          <w:szCs w:val="20"/>
        </w:rPr>
      </w:pPr>
      <w:r>
        <w:rPr>
          <w:rFonts w:ascii="Times New Roman" w:hAnsi="Times New Roman" w:eastAsia="Times New Roman" w:cs="Times New Roman"/>
          <w:sz w:val="20"/>
          <w:szCs w:val="20"/>
          <w:spacing w:val="6"/>
        </w:rPr>
        <w:t>E.5  </w:t>
      </w:r>
      <w:r>
        <w:rPr>
          <w:rFonts w:ascii="SimHei" w:hAnsi="SimHei" w:eastAsia="SimHei" w:cs="SimHei"/>
          <w:sz w:val="20"/>
          <w:szCs w:val="20"/>
          <w:spacing w:val="6"/>
        </w:rPr>
        <w:t>提升无形要素价值</w:t>
      </w:r>
    </w:p>
    <w:p>
      <w:pPr>
        <w:pStyle w:val="BodyText"/>
        <w:spacing w:line="293" w:lineRule="auto"/>
        <w:rPr/>
      </w:pPr>
      <w:r/>
    </w:p>
    <w:p>
      <w:pPr>
        <w:ind w:left="1"/>
        <w:spacing w:before="65" w:line="228" w:lineRule="auto"/>
        <w:rPr>
          <w:rFonts w:ascii="SimSun" w:hAnsi="SimSun" w:eastAsia="SimSun" w:cs="SimSun"/>
          <w:sz w:val="20"/>
          <w:szCs w:val="20"/>
        </w:rPr>
      </w:pPr>
      <w:r>
        <w:rPr>
          <w:rFonts w:ascii="SimSun" w:hAnsi="SimSun" w:eastAsia="SimSun" w:cs="SimSun"/>
          <w:sz w:val="20"/>
          <w:szCs w:val="20"/>
          <w:spacing w:val="7"/>
        </w:rPr>
        <w:t>E.5.1</w:t>
      </w:r>
      <w:r>
        <w:rPr>
          <w:rFonts w:ascii="SimSun" w:hAnsi="SimSun" w:eastAsia="SimSun" w:cs="SimSun"/>
          <w:sz w:val="20"/>
          <w:szCs w:val="20"/>
          <w:spacing w:val="37"/>
        </w:rPr>
        <w:t xml:space="preserve"> </w:t>
      </w:r>
      <w:r>
        <w:rPr>
          <w:rFonts w:ascii="SimSun" w:hAnsi="SimSun" w:eastAsia="SimSun" w:cs="SimSun"/>
          <w:sz w:val="20"/>
          <w:szCs w:val="20"/>
          <w:spacing w:val="7"/>
        </w:rPr>
        <w:t>中国非物质文化遗产创新品牌战略管理</w:t>
      </w:r>
    </w:p>
    <w:p>
      <w:pPr>
        <w:ind w:left="6" w:right="16" w:hanging="3"/>
        <w:spacing w:before="275" w:line="409" w:lineRule="auto"/>
        <w:rPr>
          <w:rFonts w:ascii="SimSun" w:hAnsi="SimSun" w:eastAsia="SimSun" w:cs="SimSun"/>
          <w:sz w:val="20"/>
          <w:szCs w:val="20"/>
        </w:rPr>
      </w:pPr>
      <w:r>
        <w:rPr>
          <w:rFonts w:ascii="SimSun" w:hAnsi="SimSun" w:eastAsia="SimSun" w:cs="SimSun"/>
          <w:sz w:val="20"/>
          <w:szCs w:val="20"/>
          <w:spacing w:val="3"/>
        </w:rPr>
        <w:t>基于国内外法规、产业政策、技术、市场等宏观环境以及产业竞争优势分析</w:t>
      </w:r>
      <w:r>
        <w:rPr>
          <w:rFonts w:ascii="SimSun" w:hAnsi="SimSun" w:eastAsia="SimSun" w:cs="SimSun"/>
          <w:sz w:val="20"/>
          <w:szCs w:val="20"/>
          <w:spacing w:val="2"/>
        </w:rPr>
        <w:t>，起源地文化传播（北</w:t>
      </w:r>
      <w:r>
        <w:rPr>
          <w:rFonts w:ascii="SimSun" w:hAnsi="SimSun" w:eastAsia="SimSun" w:cs="SimSun"/>
          <w:sz w:val="20"/>
          <w:szCs w:val="20"/>
          <w:spacing w:val="4"/>
        </w:rPr>
        <w:t>京）中心标准化管理办公室宜对中国非物质文化遗产创新品牌战略规划方向、架构进行充</w:t>
      </w:r>
      <w:r>
        <w:rPr>
          <w:rFonts w:ascii="SimSun" w:hAnsi="SimSun" w:eastAsia="SimSun" w:cs="SimSun"/>
          <w:sz w:val="20"/>
          <w:szCs w:val="20"/>
          <w:spacing w:val="3"/>
        </w:rPr>
        <w:t>分研究，</w:t>
      </w:r>
      <w:r>
        <w:rPr>
          <w:rFonts w:ascii="SimSun" w:hAnsi="SimSun" w:eastAsia="SimSun" w:cs="SimSun"/>
          <w:sz w:val="20"/>
          <w:szCs w:val="20"/>
          <w:spacing w:val="9"/>
        </w:rPr>
        <w:t>必要时及时调整，包括品牌定位、市场细分、品牌经营模式、营销方式等方面的内容。</w:t>
      </w:r>
    </w:p>
    <w:p>
      <w:pPr>
        <w:ind w:left="1"/>
        <w:spacing w:before="76" w:line="228" w:lineRule="auto"/>
        <w:rPr>
          <w:rFonts w:ascii="SimSun" w:hAnsi="SimSun" w:eastAsia="SimSun" w:cs="SimSun"/>
          <w:sz w:val="20"/>
          <w:szCs w:val="20"/>
        </w:rPr>
      </w:pPr>
      <w:r>
        <w:rPr>
          <w:rFonts w:ascii="SimSun" w:hAnsi="SimSun" w:eastAsia="SimSun" w:cs="SimSun"/>
          <w:sz w:val="20"/>
          <w:szCs w:val="20"/>
          <w:spacing w:val="8"/>
        </w:rPr>
        <w:t>E.5.2 丰富中国非物质文化遗产创新品牌文化内涵</w:t>
      </w:r>
    </w:p>
    <w:p>
      <w:pPr>
        <w:ind w:left="3" w:right="68"/>
        <w:spacing w:before="273" w:line="335" w:lineRule="auto"/>
        <w:jc w:val="both"/>
        <w:rPr>
          <w:rFonts w:ascii="SimSun" w:hAnsi="SimSun" w:eastAsia="SimSun" w:cs="SimSun"/>
          <w:sz w:val="20"/>
          <w:szCs w:val="20"/>
        </w:rPr>
      </w:pPr>
      <w:r>
        <w:rPr>
          <w:rFonts w:ascii="SimSun" w:hAnsi="SimSun" w:eastAsia="SimSun" w:cs="SimSun"/>
          <w:sz w:val="20"/>
          <w:szCs w:val="20"/>
          <w:spacing w:val="8"/>
        </w:rPr>
        <w:t>起源地文化传播（北京）中心标准化管理办公室宜不断</w:t>
      </w:r>
      <w:r>
        <w:rPr>
          <w:rFonts w:ascii="SimSun" w:hAnsi="SimSun" w:eastAsia="SimSun" w:cs="SimSun"/>
          <w:sz w:val="20"/>
          <w:szCs w:val="20"/>
          <w:spacing w:val="7"/>
        </w:rPr>
        <w:t>丰富中国非物质文化遗产创新品牌文化内</w:t>
      </w:r>
      <w:r>
        <w:rPr>
          <w:rFonts w:ascii="SimSun" w:hAnsi="SimSun" w:eastAsia="SimSun" w:cs="SimSun"/>
          <w:sz w:val="20"/>
          <w:szCs w:val="20"/>
          <w:spacing w:val="8"/>
        </w:rPr>
        <w:t>涵，使消费者对中国非物质文化遗产创新品牌形成文化感</w:t>
      </w:r>
      <w:r>
        <w:rPr>
          <w:rFonts w:ascii="SimSun" w:hAnsi="SimSun" w:eastAsia="SimSun" w:cs="SimSun"/>
          <w:sz w:val="20"/>
          <w:szCs w:val="20"/>
          <w:spacing w:val="7"/>
        </w:rPr>
        <w:t>知和认同感，可采取包括但不限于下列</w:t>
      </w:r>
      <w:r>
        <w:rPr>
          <w:rFonts w:ascii="SimSun" w:hAnsi="SimSun" w:eastAsia="SimSun" w:cs="SimSun"/>
          <w:sz w:val="20"/>
          <w:szCs w:val="20"/>
          <w:spacing w:val="3"/>
        </w:rPr>
        <w:t>措施：</w:t>
      </w:r>
    </w:p>
    <w:p>
      <w:pPr>
        <w:ind w:left="8" w:right="71" w:hanging="4"/>
        <w:spacing w:before="158" w:line="334" w:lineRule="auto"/>
        <w:rPr>
          <w:rFonts w:ascii="SimSun" w:hAnsi="SimSun" w:eastAsia="SimSun" w:cs="SimSun"/>
          <w:sz w:val="20"/>
          <w:szCs w:val="20"/>
        </w:rPr>
      </w:pPr>
      <w:r>
        <w:rPr>
          <w:rFonts w:ascii="SimSun" w:hAnsi="SimSun" w:eastAsia="SimSun" w:cs="SimSun"/>
          <w:sz w:val="20"/>
          <w:szCs w:val="20"/>
          <w:spacing w:val="10"/>
        </w:rPr>
        <w:t>a）通过挖掘历史文化、民族文化、地域文化、民间文化、风土人情、宗教文化、人文</w:t>
      </w:r>
      <w:r>
        <w:rPr>
          <w:rFonts w:ascii="SimSun" w:hAnsi="SimSun" w:eastAsia="SimSun" w:cs="SimSun"/>
          <w:sz w:val="20"/>
          <w:szCs w:val="20"/>
          <w:spacing w:val="9"/>
        </w:rPr>
        <w:t>景观等深</w:t>
      </w:r>
      <w:r>
        <w:rPr>
          <w:rFonts w:ascii="SimSun" w:hAnsi="SimSun" w:eastAsia="SimSun" w:cs="SimSun"/>
          <w:sz w:val="20"/>
          <w:szCs w:val="20"/>
          <w:spacing w:val="9"/>
        </w:rPr>
        <w:t>厚的文化积淀，丰富中国非物质文化遗产创新品牌文化内涵；</w:t>
      </w:r>
    </w:p>
    <w:p>
      <w:pPr>
        <w:ind w:right="751"/>
        <w:spacing w:before="157" w:line="482" w:lineRule="auto"/>
        <w:rPr>
          <w:rFonts w:ascii="SimSun" w:hAnsi="SimSun" w:eastAsia="SimSun" w:cs="SimSun"/>
          <w:sz w:val="20"/>
          <w:szCs w:val="20"/>
        </w:rPr>
      </w:pPr>
      <w:r>
        <w:rPr>
          <w:rFonts w:ascii="SimSun" w:hAnsi="SimSun" w:eastAsia="SimSun" w:cs="SimSun"/>
          <w:sz w:val="20"/>
          <w:szCs w:val="20"/>
          <w:spacing w:val="9"/>
        </w:rPr>
        <w:t>b）结合时代特点，使中国非物质文化遗产创新品牌文化融入时</w:t>
      </w:r>
      <w:r>
        <w:rPr>
          <w:rFonts w:ascii="SimSun" w:hAnsi="SimSun" w:eastAsia="SimSun" w:cs="SimSun"/>
          <w:sz w:val="20"/>
          <w:szCs w:val="20"/>
          <w:spacing w:val="8"/>
        </w:rPr>
        <w:t>代元素，不断更新迭代。</w:t>
      </w:r>
      <w:r>
        <w:rPr>
          <w:rFonts w:ascii="SimSun" w:hAnsi="SimSun" w:eastAsia="SimSun" w:cs="SimSun"/>
          <w:sz w:val="20"/>
          <w:szCs w:val="20"/>
        </w:rPr>
        <w:t xml:space="preserve"> </w:t>
      </w:r>
      <w:r>
        <w:rPr>
          <w:rFonts w:ascii="SimSun" w:hAnsi="SimSun" w:eastAsia="SimSun" w:cs="SimSun"/>
          <w:sz w:val="20"/>
          <w:szCs w:val="20"/>
          <w:spacing w:val="8"/>
        </w:rPr>
        <w:t>E.5.3 加强中国非物质文化遗产创新品牌营销</w:t>
      </w:r>
    </w:p>
    <w:p>
      <w:pPr>
        <w:ind w:left="4" w:right="68"/>
        <w:spacing w:before="1" w:line="333" w:lineRule="auto"/>
        <w:rPr>
          <w:rFonts w:ascii="SimSun" w:hAnsi="SimSun" w:eastAsia="SimSun" w:cs="SimSun"/>
          <w:sz w:val="20"/>
          <w:szCs w:val="20"/>
        </w:rPr>
      </w:pPr>
      <w:r>
        <w:rPr>
          <w:rFonts w:ascii="SimSun" w:hAnsi="SimSun" w:eastAsia="SimSun" w:cs="SimSun"/>
          <w:sz w:val="20"/>
          <w:szCs w:val="20"/>
          <w:spacing w:val="8"/>
        </w:rPr>
        <w:t>起源地文化传播（北京）中心标准化管理办公室宜加强</w:t>
      </w:r>
      <w:r>
        <w:rPr>
          <w:rFonts w:ascii="SimSun" w:hAnsi="SimSun" w:eastAsia="SimSun" w:cs="SimSun"/>
          <w:sz w:val="20"/>
          <w:szCs w:val="20"/>
          <w:spacing w:val="7"/>
        </w:rPr>
        <w:t>品牌宣传营销工作，不断提高中国非物质</w:t>
      </w:r>
      <w:r>
        <w:rPr>
          <w:rFonts w:ascii="SimSun" w:hAnsi="SimSun" w:eastAsia="SimSun" w:cs="SimSun"/>
          <w:sz w:val="20"/>
          <w:szCs w:val="20"/>
          <w:spacing w:val="9"/>
        </w:rPr>
        <w:t>文化遗产创新品牌的知名度、美誉度与忠诚度，可采取包括但不限于下列措施：</w:t>
      </w:r>
    </w:p>
    <w:p>
      <w:pPr>
        <w:ind w:left="4" w:right="71"/>
        <w:spacing w:before="160" w:line="334" w:lineRule="auto"/>
        <w:rPr>
          <w:rFonts w:ascii="SimSun" w:hAnsi="SimSun" w:eastAsia="SimSun" w:cs="SimSun"/>
          <w:sz w:val="20"/>
          <w:szCs w:val="20"/>
        </w:rPr>
      </w:pPr>
      <w:r>
        <w:rPr>
          <w:rFonts w:ascii="SimSun" w:hAnsi="SimSun" w:eastAsia="SimSun" w:cs="SimSun"/>
          <w:sz w:val="20"/>
          <w:szCs w:val="20"/>
          <w:spacing w:val="10"/>
        </w:rPr>
        <w:t>a）充分发挥相关部门公信力作用，对中国非物质文化遗产创新品牌进行宣传，获得公</w:t>
      </w:r>
      <w:r>
        <w:rPr>
          <w:rFonts w:ascii="SimSun" w:hAnsi="SimSun" w:eastAsia="SimSun" w:cs="SimSun"/>
          <w:sz w:val="20"/>
          <w:szCs w:val="20"/>
          <w:spacing w:val="9"/>
        </w:rPr>
        <w:t>众的信任</w:t>
      </w:r>
      <w:r>
        <w:rPr>
          <w:rFonts w:ascii="SimSun" w:hAnsi="SimSun" w:eastAsia="SimSun" w:cs="SimSun"/>
          <w:sz w:val="20"/>
          <w:szCs w:val="20"/>
          <w:spacing w:val="4"/>
        </w:rPr>
        <w:t>和支持；</w:t>
      </w:r>
    </w:p>
    <w:p>
      <w:pPr>
        <w:spacing w:before="157" w:line="228" w:lineRule="auto"/>
        <w:rPr>
          <w:rFonts w:ascii="SimSun" w:hAnsi="SimSun" w:eastAsia="SimSun" w:cs="SimSun"/>
          <w:sz w:val="20"/>
          <w:szCs w:val="20"/>
        </w:rPr>
      </w:pPr>
      <w:r>
        <w:rPr>
          <w:rFonts w:ascii="SimSun" w:hAnsi="SimSun" w:eastAsia="SimSun" w:cs="SimSun"/>
          <w:sz w:val="20"/>
          <w:szCs w:val="20"/>
          <w:spacing w:val="9"/>
        </w:rPr>
        <w:t>b）结合时代特点，不断丰富营销方式和营销手段；</w:t>
      </w:r>
    </w:p>
    <w:p>
      <w:pPr>
        <w:ind w:right="540" w:firstLine="7"/>
        <w:spacing w:before="277" w:line="443" w:lineRule="auto"/>
        <w:rPr>
          <w:rFonts w:ascii="SimHei" w:hAnsi="SimHei" w:eastAsia="SimHei" w:cs="SimHei"/>
          <w:sz w:val="20"/>
          <w:szCs w:val="20"/>
        </w:rPr>
      </w:pPr>
      <w:r>
        <w:rPr>
          <w:rFonts w:ascii="SimSun" w:hAnsi="SimSun" w:eastAsia="SimSun" w:cs="SimSun"/>
          <w:sz w:val="20"/>
          <w:szCs w:val="20"/>
          <w:spacing w:val="9"/>
        </w:rPr>
        <w:t>c）传播中国非物质文化遗产创新品牌文化内涵，提</w:t>
      </w:r>
      <w:r>
        <w:rPr>
          <w:rFonts w:ascii="SimSun" w:hAnsi="SimSun" w:eastAsia="SimSun" w:cs="SimSun"/>
          <w:sz w:val="20"/>
          <w:szCs w:val="20"/>
          <w:spacing w:val="8"/>
        </w:rPr>
        <w:t>升中国非物质文化遗产创新品牌形象。</w:t>
      </w:r>
      <w:r>
        <w:rPr>
          <w:rFonts w:ascii="SimSun" w:hAnsi="SimSun" w:eastAsia="SimSun" w:cs="SimSun"/>
          <w:sz w:val="20"/>
          <w:szCs w:val="20"/>
        </w:rPr>
        <w:t xml:space="preserve"> </w:t>
      </w:r>
      <w:r>
        <w:rPr>
          <w:rFonts w:ascii="Times New Roman" w:hAnsi="Times New Roman" w:eastAsia="Times New Roman" w:cs="Times New Roman"/>
          <w:sz w:val="20"/>
          <w:szCs w:val="20"/>
          <w:spacing w:val="6"/>
        </w:rPr>
        <w:t>E.6  </w:t>
      </w:r>
      <w:r>
        <w:rPr>
          <w:rFonts w:ascii="SimHei" w:hAnsi="SimHei" w:eastAsia="SimHei" w:cs="SimHei"/>
          <w:sz w:val="20"/>
          <w:szCs w:val="20"/>
          <w:spacing w:val="6"/>
        </w:rPr>
        <w:t>加强知识产权管理</w:t>
      </w:r>
    </w:p>
    <w:p>
      <w:pPr>
        <w:ind w:left="5" w:right="68" w:hanging="1"/>
        <w:spacing w:before="124" w:line="336" w:lineRule="auto"/>
        <w:rPr>
          <w:rFonts w:ascii="SimSun" w:hAnsi="SimSun" w:eastAsia="SimSun" w:cs="SimSun"/>
          <w:sz w:val="20"/>
          <w:szCs w:val="20"/>
        </w:rPr>
      </w:pPr>
      <w:r>
        <w:rPr>
          <w:rFonts w:ascii="SimSun" w:hAnsi="SimSun" w:eastAsia="SimSun" w:cs="SimSun"/>
          <w:sz w:val="20"/>
          <w:szCs w:val="20"/>
          <w:spacing w:val="8"/>
        </w:rPr>
        <w:t>起源地文化传播（北京）中心标准化管理办公室宜加强</w:t>
      </w:r>
      <w:r>
        <w:rPr>
          <w:rFonts w:ascii="SimSun" w:hAnsi="SimSun" w:eastAsia="SimSun" w:cs="SimSun"/>
          <w:sz w:val="20"/>
          <w:szCs w:val="20"/>
          <w:spacing w:val="7"/>
        </w:rPr>
        <w:t>中国非物质文化遗产创新品牌知识产权管</w:t>
      </w:r>
      <w:r>
        <w:rPr>
          <w:rFonts w:ascii="SimSun" w:hAnsi="SimSun" w:eastAsia="SimSun" w:cs="SimSun"/>
          <w:sz w:val="20"/>
          <w:szCs w:val="20"/>
          <w:spacing w:val="8"/>
        </w:rPr>
        <w:t>理，可采取包括但不限于下列措施：</w:t>
      </w:r>
    </w:p>
    <w:p>
      <w:pPr>
        <w:ind w:left="6" w:right="122" w:hanging="2"/>
        <w:spacing w:before="157" w:line="333" w:lineRule="auto"/>
        <w:rPr>
          <w:rFonts w:ascii="SimSun" w:hAnsi="SimSun" w:eastAsia="SimSun" w:cs="SimSun"/>
          <w:sz w:val="20"/>
          <w:szCs w:val="20"/>
        </w:rPr>
      </w:pPr>
      <w:r>
        <w:rPr>
          <w:rFonts w:ascii="SimSun" w:hAnsi="SimSun" w:eastAsia="SimSun" w:cs="SimSun"/>
          <w:sz w:val="20"/>
          <w:szCs w:val="20"/>
          <w:spacing w:val="9"/>
        </w:rPr>
        <w:t>a）从与中国非物质文化遗产创新品牌相关的知识产权的合理开发</w:t>
      </w:r>
      <w:r>
        <w:rPr>
          <w:rFonts w:ascii="SimSun" w:hAnsi="SimSun" w:eastAsia="SimSun" w:cs="SimSun"/>
          <w:sz w:val="20"/>
          <w:szCs w:val="20"/>
          <w:spacing w:val="8"/>
        </w:rPr>
        <w:t>、应用、推广、保护等方面，</w:t>
      </w:r>
      <w:r>
        <w:rPr>
          <w:rFonts w:ascii="SimSun" w:hAnsi="SimSun" w:eastAsia="SimSun" w:cs="SimSun"/>
          <w:sz w:val="20"/>
          <w:szCs w:val="20"/>
          <w:spacing w:val="8"/>
        </w:rPr>
        <w:t>不断完善管理措施， 促进知识产权的开发，规范知识产权的使用管理，维护权利实体的权益；</w:t>
      </w:r>
    </w:p>
    <w:p>
      <w:pPr>
        <w:spacing w:line="333" w:lineRule="auto"/>
        <w:sectPr>
          <w:footerReference w:type="default" r:id="rId28"/>
          <w:pgSz w:w="11906" w:h="16839"/>
          <w:pgMar w:top="400" w:right="1519" w:bottom="1001" w:left="1593" w:header="0" w:footer="836" w:gutter="0"/>
        </w:sectPr>
        <w:rPr>
          <w:rFonts w:ascii="SimSun" w:hAnsi="SimSun" w:eastAsia="SimSun" w:cs="SimSun"/>
          <w:sz w:val="20"/>
          <w:szCs w:val="20"/>
        </w:rPr>
      </w:pP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1" w:lineRule="auto"/>
        <w:rPr/>
      </w:pPr>
      <w:r/>
    </w:p>
    <w:p>
      <w:pPr>
        <w:spacing w:before="65" w:line="227" w:lineRule="auto"/>
        <w:rPr>
          <w:rFonts w:ascii="SimSun" w:hAnsi="SimSun" w:eastAsia="SimSun" w:cs="SimSun"/>
          <w:sz w:val="20"/>
          <w:szCs w:val="20"/>
        </w:rPr>
      </w:pPr>
      <w:r>
        <w:rPr>
          <w:rFonts w:ascii="SimSun" w:hAnsi="SimSun" w:eastAsia="SimSun" w:cs="SimSun"/>
          <w:sz w:val="20"/>
          <w:szCs w:val="20"/>
          <w:spacing w:val="9"/>
        </w:rPr>
        <w:t>b）通过建立标准、信息等知识共享平台，促进知识在区域内企事业单位的合理转型与创新。</w:t>
      </w:r>
    </w:p>
    <w:sectPr>
      <w:footerReference w:type="default" r:id="rId29"/>
      <w:pgSz w:w="11906" w:h="16839"/>
      <w:pgMar w:top="400" w:right="1785" w:bottom="1001" w:left="1593" w:header="0" w:footer="836"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17"/>
      <w:spacing w:line="169" w:lineRule="auto"/>
      <w:rPr>
        <w:rFonts w:ascii="Calibri" w:hAnsi="Calibri" w:eastAsia="Calibri" w:cs="Calibri"/>
        <w:sz w:val="18"/>
        <w:szCs w:val="18"/>
      </w:rPr>
    </w:pPr>
    <w:r>
      <w:rPr>
        <w:rFonts w:ascii="Calibri" w:hAnsi="Calibri" w:eastAsia="Calibri" w:cs="Calibri"/>
        <w:sz w:val="18"/>
        <w:szCs w:val="18"/>
      </w:rPr>
      <w:t>3</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8"/>
      </w:rPr>
      <w:t>12</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9" w:lineRule="auto"/>
      <w:rPr>
        <w:rFonts w:ascii="Calibri" w:hAnsi="Calibri" w:eastAsia="Calibri" w:cs="Calibri"/>
        <w:sz w:val="18"/>
        <w:szCs w:val="18"/>
      </w:rPr>
    </w:pPr>
    <w:r>
      <w:rPr>
        <w:rFonts w:ascii="Calibri" w:hAnsi="Calibri" w:eastAsia="Calibri" w:cs="Calibri"/>
        <w:sz w:val="18"/>
        <w:szCs w:val="18"/>
        <w:spacing w:val="-8"/>
      </w:rPr>
      <w:t>13</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90"/>
      <w:spacing w:line="168" w:lineRule="auto"/>
      <w:rPr>
        <w:rFonts w:ascii="Calibri" w:hAnsi="Calibri" w:eastAsia="Calibri" w:cs="Calibri"/>
        <w:sz w:val="18"/>
        <w:szCs w:val="18"/>
      </w:rPr>
    </w:pPr>
    <w:r>
      <w:rPr>
        <w:rFonts w:ascii="Calibri" w:hAnsi="Calibri" w:eastAsia="Calibri" w:cs="Calibri"/>
        <w:sz w:val="18"/>
        <w:szCs w:val="18"/>
        <w:spacing w:val="-8"/>
      </w:rPr>
      <w:t>14</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400"/>
      <w:spacing w:line="168" w:lineRule="auto"/>
      <w:rPr>
        <w:rFonts w:ascii="Calibri" w:hAnsi="Calibri" w:eastAsia="Calibri" w:cs="Calibri"/>
        <w:sz w:val="18"/>
        <w:szCs w:val="18"/>
      </w:rPr>
    </w:pPr>
    <w:r>
      <w:rPr>
        <w:rFonts w:ascii="Calibri" w:hAnsi="Calibri" w:eastAsia="Calibri" w:cs="Calibri"/>
        <w:sz w:val="18"/>
        <w:szCs w:val="18"/>
        <w:spacing w:val="-8"/>
      </w:rPr>
      <w:t>15</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82"/>
      <w:spacing w:line="169" w:lineRule="auto"/>
      <w:rPr>
        <w:rFonts w:ascii="Calibri" w:hAnsi="Calibri" w:eastAsia="Calibri" w:cs="Calibri"/>
        <w:sz w:val="18"/>
        <w:szCs w:val="18"/>
      </w:rPr>
    </w:pPr>
    <w:r>
      <w:rPr>
        <w:rFonts w:ascii="Calibri" w:hAnsi="Calibri" w:eastAsia="Calibri" w:cs="Calibri"/>
        <w:sz w:val="18"/>
        <w:szCs w:val="18"/>
        <w:spacing w:val="-8"/>
      </w:rPr>
      <w:t>16</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82"/>
      <w:spacing w:line="168" w:lineRule="auto"/>
      <w:rPr>
        <w:rFonts w:ascii="Calibri" w:hAnsi="Calibri" w:eastAsia="Calibri" w:cs="Calibri"/>
        <w:sz w:val="18"/>
        <w:szCs w:val="18"/>
      </w:rPr>
    </w:pPr>
    <w:r>
      <w:rPr>
        <w:rFonts w:ascii="Calibri" w:hAnsi="Calibri" w:eastAsia="Calibri" w:cs="Calibri"/>
        <w:sz w:val="18"/>
        <w:szCs w:val="18"/>
        <w:spacing w:val="-8"/>
      </w:rPr>
      <w:t>17</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82"/>
      <w:spacing w:line="169" w:lineRule="auto"/>
      <w:rPr>
        <w:rFonts w:ascii="Calibri" w:hAnsi="Calibri" w:eastAsia="Calibri" w:cs="Calibri"/>
        <w:sz w:val="18"/>
        <w:szCs w:val="18"/>
      </w:rPr>
    </w:pPr>
    <w:r>
      <w:rPr>
        <w:rFonts w:ascii="Calibri" w:hAnsi="Calibri" w:eastAsia="Calibri" w:cs="Calibri"/>
        <w:sz w:val="18"/>
        <w:szCs w:val="18"/>
        <w:spacing w:val="-8"/>
      </w:rPr>
      <w:t>18</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82"/>
      <w:spacing w:line="169" w:lineRule="auto"/>
      <w:rPr>
        <w:rFonts w:ascii="Calibri" w:hAnsi="Calibri" w:eastAsia="Calibri" w:cs="Calibri"/>
        <w:sz w:val="18"/>
        <w:szCs w:val="18"/>
      </w:rPr>
    </w:pPr>
    <w:r>
      <w:rPr>
        <w:rFonts w:ascii="Calibri" w:hAnsi="Calibri" w:eastAsia="Calibri" w:cs="Calibri"/>
        <w:sz w:val="18"/>
        <w:szCs w:val="18"/>
        <w:spacing w:val="-8"/>
      </w:rPr>
      <w:t>19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18"/>
      <w:spacing w:line="168" w:lineRule="auto"/>
      <w:rPr>
        <w:rFonts w:ascii="Calibri" w:hAnsi="Calibri" w:eastAsia="Calibri" w:cs="Calibri"/>
        <w:sz w:val="18"/>
        <w:szCs w:val="18"/>
      </w:rPr>
    </w:pPr>
    <w:r>
      <w:rPr>
        <w:rFonts w:ascii="Calibri" w:hAnsi="Calibri" w:eastAsia="Calibri" w:cs="Calibri"/>
        <w:sz w:val="18"/>
        <w:szCs w:val="18"/>
      </w:rPr>
      <w:t>4</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3"/>
      <w:spacing w:line="167" w:lineRule="auto"/>
      <w:rPr>
        <w:rFonts w:ascii="Calibri" w:hAnsi="Calibri" w:eastAsia="Calibri" w:cs="Calibri"/>
        <w:sz w:val="18"/>
        <w:szCs w:val="18"/>
      </w:rPr>
    </w:pPr>
    <w:r>
      <w:rPr>
        <w:rFonts w:ascii="Calibri" w:hAnsi="Calibri" w:eastAsia="Calibri" w:cs="Calibri"/>
        <w:sz w:val="18"/>
        <w:szCs w:val="18"/>
      </w:rPr>
      <w:t>5</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18"/>
      <w:spacing w:line="169" w:lineRule="auto"/>
      <w:rPr>
        <w:rFonts w:ascii="Calibri" w:hAnsi="Calibri" w:eastAsia="Calibri" w:cs="Calibri"/>
        <w:sz w:val="18"/>
        <w:szCs w:val="18"/>
      </w:rPr>
    </w:pPr>
    <w:r>
      <w:rPr>
        <w:rFonts w:ascii="Calibri" w:hAnsi="Calibri" w:eastAsia="Calibri" w:cs="Calibri"/>
        <w:sz w:val="18"/>
        <w:szCs w:val="18"/>
      </w:rPr>
      <w:t>6</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18"/>
      <w:spacing w:line="167" w:lineRule="auto"/>
      <w:rPr>
        <w:rFonts w:ascii="Calibri" w:hAnsi="Calibri" w:eastAsia="Calibri" w:cs="Calibri"/>
        <w:sz w:val="18"/>
        <w:szCs w:val="18"/>
      </w:rPr>
    </w:pPr>
    <w:r>
      <w:rPr>
        <w:rFonts w:ascii="Calibri" w:hAnsi="Calibri" w:eastAsia="Calibri" w:cs="Calibri"/>
        <w:sz w:val="18"/>
        <w:szCs w:val="18"/>
      </w:rPr>
      <w:t>7</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0"/>
      <w:spacing w:line="169" w:lineRule="auto"/>
      <w:rPr>
        <w:rFonts w:ascii="Calibri" w:hAnsi="Calibri" w:eastAsia="Calibri" w:cs="Calibri"/>
        <w:sz w:val="18"/>
        <w:szCs w:val="18"/>
      </w:rPr>
    </w:pPr>
    <w:r>
      <w:rPr>
        <w:rFonts w:ascii="Calibri" w:hAnsi="Calibri" w:eastAsia="Calibri" w:cs="Calibri"/>
        <w:sz w:val="18"/>
        <w:szCs w:val="18"/>
      </w:rPr>
      <w:t>8</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325"/>
      <w:spacing w:line="169" w:lineRule="auto"/>
      <w:rPr>
        <w:rFonts w:ascii="Calibri" w:hAnsi="Calibri" w:eastAsia="Calibri" w:cs="Calibri"/>
        <w:sz w:val="18"/>
        <w:szCs w:val="18"/>
      </w:rPr>
    </w:pPr>
    <w:r>
      <w:rPr>
        <w:rFonts w:ascii="Calibri" w:hAnsi="Calibri" w:eastAsia="Calibri" w:cs="Calibri"/>
        <w:sz w:val="18"/>
        <w:szCs w:val="18"/>
      </w:rPr>
      <w:t>9</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80"/>
      <w:spacing w:line="169" w:lineRule="auto"/>
      <w:rPr>
        <w:rFonts w:ascii="Calibri" w:hAnsi="Calibri" w:eastAsia="Calibri" w:cs="Calibri"/>
        <w:sz w:val="18"/>
        <w:szCs w:val="18"/>
      </w:rPr>
    </w:pPr>
    <w:r>
      <w:rPr>
        <w:rFonts w:ascii="Calibri" w:hAnsi="Calibri" w:eastAsia="Calibri" w:cs="Calibri"/>
        <w:sz w:val="18"/>
        <w:szCs w:val="18"/>
        <w:spacing w:val="-8"/>
      </w:rPr>
      <w:t>10</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68" w:lineRule="auto"/>
      <w:outlineLvl w:val="0"/>
      <w:rPr>
        <w:rFonts w:ascii="Calibri" w:hAnsi="Calibri" w:eastAsia="Calibri" w:cs="Calibri"/>
        <w:sz w:val="18"/>
        <w:szCs w:val="18"/>
      </w:rPr>
    </w:pPr>
    <w:bookmarkStart w:name="bookmark13" w:id="16"/>
    <w:bookmarkEnd w:id="16"/>
    <w:r>
      <w:rPr>
        <w:rFonts w:ascii="Calibri" w:hAnsi="Calibri" w:eastAsia="Calibri" w:cs="Calibri"/>
        <w:sz w:val="18"/>
        <w:szCs w:val="18"/>
        <w:spacing w:val="-8"/>
      </w:rPr>
      <w:t>11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 w:right="8275" w:firstLine="34"/>
      <w:spacing w:before="55" w:line="306" w:lineRule="auto"/>
      <w:rPr>
        <w:rFonts w:ascii="SimHei" w:hAnsi="SimHei" w:eastAsia="SimHei" w:cs="SimHei"/>
        <w:sz w:val="20"/>
        <w:szCs w:val="20"/>
      </w:rPr>
    </w:pPr>
    <w:r>
      <w:rPr>
        <w:rFonts w:ascii="SimHei" w:hAnsi="SimHei" w:eastAsia="SimHei" w:cs="SimHei"/>
        <w:sz w:val="20"/>
        <w:szCs w:val="20"/>
      </w:rPr>
      <w:t>ICS</w:t>
    </w:r>
    <w:r>
      <w:rPr>
        <w:rFonts w:ascii="SimHei" w:hAnsi="SimHei" w:eastAsia="SimHei" w:cs="SimHei"/>
        <w:sz w:val="20"/>
        <w:szCs w:val="20"/>
        <w:spacing w:val="2"/>
      </w:rPr>
      <w:t xml:space="preserve"> </w:t>
    </w:r>
    <w:r>
      <w:rPr>
        <w:rFonts w:ascii="SimHei" w:hAnsi="SimHei" w:eastAsia="SimHei" w:cs="SimHei"/>
        <w:sz w:val="20"/>
        <w:szCs w:val="20"/>
        <w:spacing w:val="2"/>
      </w:rPr>
      <w:t>03.120.20</w:t>
    </w:r>
    <w:r>
      <w:rPr>
        <w:rFonts w:ascii="SimHei" w:hAnsi="SimHei" w:eastAsia="SimHei" w:cs="SimHei"/>
        <w:sz w:val="20"/>
        <w:szCs w:val="20"/>
        <w:spacing w:val="1"/>
      </w:rPr>
      <w:t xml:space="preserve"> </w:t>
    </w:r>
    <w:r>
      <w:rPr>
        <w:rFonts w:ascii="SimHei" w:hAnsi="SimHei" w:eastAsia="SimHei" w:cs="SimHei"/>
        <w:sz w:val="20"/>
        <w:szCs w:val="20"/>
      </w:rPr>
      <w:t>CCS</w:t>
    </w:r>
    <w:r>
      <w:rPr>
        <w:rFonts w:ascii="SimHei" w:hAnsi="SimHei" w:eastAsia="SimHei" w:cs="SimHei"/>
        <w:sz w:val="20"/>
        <w:szCs w:val="20"/>
        <w:spacing w:val="8"/>
      </w:rPr>
      <w:t xml:space="preserve"> </w:t>
    </w:r>
    <w:r>
      <w:rPr>
        <w:rFonts w:ascii="SimHei" w:hAnsi="SimHei" w:eastAsia="SimHei" w:cs="SimHei"/>
        <w:sz w:val="20"/>
        <w:szCs w:val="20"/>
        <w:spacing w:val="8"/>
      </w:rPr>
      <w: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538"/>
      <w:spacing w:before="55" w:line="229" w:lineRule="auto"/>
      <w:rPr>
        <w:rFonts w:ascii="SimHei" w:hAnsi="SimHei" w:eastAsia="SimHei" w:cs="SimHei"/>
        <w:sz w:val="20"/>
        <w:szCs w:val="20"/>
      </w:rPr>
    </w:pPr>
    <w:r>
      <w:rPr>
        <w:rFonts w:ascii="SimHei" w:hAnsi="SimHei" w:eastAsia="SimHei" w:cs="SimHei"/>
        <w:sz w:val="20"/>
        <w:szCs w:val="20"/>
        <w:spacing w:val="9"/>
      </w:rPr>
      <w:t>附录</w:t>
    </w:r>
    <w:r>
      <w:rPr>
        <w:rFonts w:ascii="SimHei" w:hAnsi="SimHei" w:eastAsia="SimHei" w:cs="SimHei"/>
        <w:sz w:val="20"/>
        <w:szCs w:val="20"/>
        <w:spacing w:val="9"/>
      </w:rPr>
      <w:t xml:space="preserve"> </w:t>
    </w:r>
    <w:r>
      <w:rPr>
        <w:rFonts w:ascii="Times New Roman" w:hAnsi="Times New Roman" w:eastAsia="Times New Roman" w:cs="Times New Roman"/>
        <w:sz w:val="20"/>
        <w:szCs w:val="20"/>
        <w:spacing w:val="9"/>
      </w:rPr>
      <w:t>A</w:t>
    </w:r>
    <w:r>
      <w:rPr>
        <w:rFonts w:ascii="SimHei" w:hAnsi="SimHei" w:eastAsia="SimHei" w:cs="SimHei"/>
        <w:sz w:val="20"/>
        <w:szCs w:val="20"/>
        <w:spacing w:val="9"/>
      </w:rPr>
      <w:t>（规范性）中国非物质文化遗产创新品</w:t>
    </w:r>
    <w:r>
      <w:rPr>
        <w:rFonts w:ascii="SimHei" w:hAnsi="SimHei" w:eastAsia="SimHei" w:cs="SimHei"/>
        <w:sz w:val="20"/>
        <w:szCs w:val="20"/>
        <w:spacing w:val="8"/>
      </w:rPr>
      <w:t>牌来源标签</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styles" Target="styles.xml"/><Relationship Id="rId30" Type="http://schemas.openxmlformats.org/officeDocument/2006/relationships/settings" Target="settings.xml"/><Relationship Id="rId3" Type="http://schemas.openxmlformats.org/officeDocument/2006/relationships/image" Target="media/image2.png"/><Relationship Id="rId29" Type="http://schemas.openxmlformats.org/officeDocument/2006/relationships/footer" Target="footer17.xml"/><Relationship Id="rId28" Type="http://schemas.openxmlformats.org/officeDocument/2006/relationships/footer" Target="footer16.xml"/><Relationship Id="rId27" Type="http://schemas.openxmlformats.org/officeDocument/2006/relationships/footer" Target="footer15.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footer" Target="footer12.xml"/><Relationship Id="rId2" Type="http://schemas.openxmlformats.org/officeDocument/2006/relationships/image" Target="media/image1.jpeg"/><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image" Target="media/image5.jpeg"/><Relationship Id="rId16" Type="http://schemas.openxmlformats.org/officeDocument/2006/relationships/footer" Target="footer9.xml"/><Relationship Id="rId15" Type="http://schemas.openxmlformats.org/officeDocument/2006/relationships/header" Target="header3.xml"/><Relationship Id="rId14" Type="http://schemas.openxmlformats.org/officeDocument/2006/relationships/image" Target="media/image4.png"/><Relationship Id="rId13" Type="http://schemas.openxmlformats.org/officeDocument/2006/relationships/image" Target="media/image3.jpeg"/><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WN</dc:creator>
  <dcterms:created xsi:type="dcterms:W3CDTF">2026-08-21T14:59:47Z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2026-08-21T16:08:50</vt:filetime>
  </property>
</Properties>
</file>