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before="0" w:beforeAutospacing="0" w:after="0" w:afterAutospacing="0" w:line="560" w:lineRule="exact"/>
        <w:ind w:firstLine="723" w:firstLineChars="200"/>
        <w:jc w:val="both"/>
        <w:rPr>
          <w:rFonts w:hint="eastAsia" w:ascii="仿宋_GB2312" w:hAnsi="仿宋_GB2312" w:eastAsia="仿宋_GB2312" w:cs="仿宋_GB2312"/>
          <w:b/>
          <w:bCs/>
          <w:color w:val="424849"/>
          <w:sz w:val="36"/>
          <w:szCs w:val="36"/>
          <w:lang w:val="en-US" w:eastAsia="zh-CN"/>
        </w:rPr>
      </w:pPr>
      <w:r>
        <w:rPr>
          <w:rFonts w:hint="eastAsia" w:ascii="仿宋_GB2312" w:hAnsi="仿宋_GB2312" w:eastAsia="仿宋_GB2312" w:cs="仿宋_GB2312"/>
          <w:b/>
          <w:bCs/>
          <w:color w:val="424849"/>
          <w:sz w:val="36"/>
          <w:szCs w:val="36"/>
        </w:rPr>
        <w:t>附件</w:t>
      </w:r>
      <w:r>
        <w:rPr>
          <w:rFonts w:hint="eastAsia" w:ascii="仿宋_GB2312" w:hAnsi="仿宋_GB2312" w:eastAsia="仿宋_GB2312" w:cs="仿宋_GB2312"/>
          <w:b/>
          <w:bCs/>
          <w:color w:val="424849"/>
          <w:sz w:val="36"/>
          <w:szCs w:val="36"/>
          <w:lang w:val="en-US" w:eastAsia="zh-CN"/>
        </w:rPr>
        <w:t>1</w:t>
      </w:r>
      <w:bookmarkStart w:id="0" w:name="_GoBack"/>
      <w:bookmarkEnd w:id="0"/>
      <w:r>
        <w:rPr>
          <w:rFonts w:hint="eastAsia" w:ascii="仿宋_GB2312" w:hAnsi="仿宋_GB2312" w:eastAsia="仿宋_GB2312" w:cs="仿宋_GB2312"/>
          <w:b/>
          <w:bCs/>
          <w:color w:val="424849"/>
          <w:sz w:val="36"/>
          <w:szCs w:val="36"/>
        </w:rPr>
        <w:t>：</w:t>
      </w:r>
      <w:r>
        <w:rPr>
          <w:rFonts w:hint="eastAsia" w:ascii="仿宋_GB2312" w:hAnsi="仿宋_GB2312" w:eastAsia="仿宋_GB2312" w:cs="仿宋_GB2312"/>
          <w:b/>
          <w:bCs/>
          <w:color w:val="424849"/>
          <w:sz w:val="36"/>
          <w:szCs w:val="36"/>
          <w:lang w:val="en-US" w:eastAsia="zh-CN"/>
        </w:rPr>
        <w:t>立项说明（部分团体标准）</w:t>
      </w:r>
    </w:p>
    <w:p>
      <w:pPr>
        <w:pStyle w:val="3"/>
        <w:shd w:val="clear" w:color="auto" w:fill="FFFFFF"/>
        <w:spacing w:before="0" w:beforeAutospacing="0" w:after="0" w:afterAutospacing="0" w:line="560" w:lineRule="exact"/>
        <w:ind w:firstLine="723" w:firstLineChars="200"/>
        <w:jc w:val="both"/>
        <w:rPr>
          <w:rFonts w:hint="eastAsia" w:ascii="仿宋_GB2312" w:hAnsi="仿宋_GB2312" w:eastAsia="仿宋_GB2312" w:cs="仿宋_GB2312"/>
          <w:b/>
          <w:bCs/>
          <w:color w:val="424849"/>
          <w:sz w:val="36"/>
          <w:szCs w:val="36"/>
          <w:lang w:val="en-US" w:eastAsia="zh-CN"/>
        </w:rPr>
      </w:pPr>
    </w:p>
    <w:p>
      <w:pPr>
        <w:numPr>
          <w:ilvl w:val="0"/>
          <w:numId w:val="0"/>
        </w:numPr>
        <w:ind w:leftChars="0"/>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一、《产品碳足迹 产品种类规则 鞋类产品》和《鞋类企业温室气体排放核算与报告通用技术要求》两项团体标准立项说明</w:t>
      </w:r>
    </w:p>
    <w:p>
      <w:pPr>
        <w:numPr>
          <w:ilvl w:val="0"/>
          <w:numId w:val="0"/>
        </w:numPr>
        <w:ind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实现碳达峰、碳中和，是以习近平同志为核心的党中央统筹国内国际两个大局作出的重大战略决策。2021年9月，中共中央 国务院公布《完整准确全面贯彻新发展理念做好碳达峰碳中和工作的意见》，对碳达峰碳中和工作作出系统谋划，明确了总体要求、主要目标和重大举措。此外，国务院、发改委、工信部等机构均提出多项低碳发展的政策和目标。</w:t>
      </w:r>
    </w:p>
    <w:p>
      <w:pPr>
        <w:numPr>
          <w:ilvl w:val="0"/>
          <w:numId w:val="0"/>
        </w:numPr>
        <w:ind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针对目前中央指导思想和发展目标，各行各业均对低碳发展战略有了更高需求，而碳核算作为低碳发展体系建立的第一步，核算标准的建立工作就显得尤为紧迫。对于我们熟知的纺织服装领域，目前已经有国家标准GB/T 32151.12-2018《温室气体排放核算与报告要求 第12部分: 纺织服装企业》，而对于制鞋产业，却并没有相关标准可以依据。</w:t>
      </w:r>
    </w:p>
    <w:p>
      <w:pPr>
        <w:numPr>
          <w:ilvl w:val="0"/>
          <w:numId w:val="0"/>
        </w:numPr>
        <w:ind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为保障制鞋行业低碳工作的顺利开展，深圳市英柏检测技术有限公司在中国民族贸易促进会立项《产品碳足迹 产品种类规则 鞋类产品》和《鞋类企业温室气体排放核算与报告通用技术要求》两项团体标准。该两项标准将在产品层面和组织层面科学界定温室气体核算的边界、方法、数据收集等，并将对核算报告进行统一。</w:t>
      </w:r>
    </w:p>
    <w:p>
      <w:pPr>
        <w:numPr>
          <w:ilvl w:val="0"/>
          <w:numId w:val="0"/>
        </w:numPr>
        <w:ind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为使该标准更加贴合制鞋行业实际情况，符合行业对低碳发展的实际需求，现诚邀大家加入该两项标准的制定过程中，共同为该两项标准的顺利和尽早实施出一份力。</w:t>
      </w:r>
    </w:p>
    <w:p>
      <w:pPr>
        <w:pStyle w:val="3"/>
        <w:shd w:val="clear" w:color="auto" w:fill="FFFFFF"/>
        <w:spacing w:before="0" w:beforeAutospacing="0" w:after="0" w:afterAutospacing="0" w:line="560" w:lineRule="exact"/>
        <w:jc w:val="both"/>
        <w:rPr>
          <w:rFonts w:hint="eastAsia" w:ascii="仿宋_GB2312" w:hAnsi="仿宋_GB2312" w:eastAsia="仿宋_GB2312" w:cs="仿宋_GB2312"/>
          <w:b/>
          <w:bCs/>
          <w:color w:val="424849"/>
          <w:sz w:val="36"/>
          <w:szCs w:val="36"/>
          <w:lang w:val="en-US" w:eastAsia="zh-CN"/>
        </w:rPr>
      </w:pPr>
    </w:p>
    <w:p>
      <w:pPr>
        <w:numPr>
          <w:ilvl w:val="0"/>
          <w:numId w:val="0"/>
        </w:numPr>
        <w:ind w:leftChars="0"/>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二、《火麻仁饮料》团体标准立项说明</w:t>
      </w:r>
    </w:p>
    <w:p>
      <w:pPr>
        <w:numPr>
          <w:ilvl w:val="0"/>
          <w:numId w:val="0"/>
        </w:numPr>
        <w:ind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《中华人民共和国药典》（2020版）中火麻仁是指以桑科植物大麻Cannabis sativa L.的干燥成熟果实，原中华人民共和国卫生部（卫法监发[2002] 51号）文将火麻仁列入既是食品又是药品的物品名单。火麻仁富含不饱和脂肪酸、蛋白质、卵磷脂、油酸、亚麻酸、亚纳酸等，其脂肪酸中含亚油酸和亚麻酸共达76.4%，是目前常见食用植物油中不饱和脂肪含量的最高者之一。</w:t>
      </w:r>
    </w:p>
    <w:p>
      <w:pPr>
        <w:numPr>
          <w:ilvl w:val="0"/>
          <w:numId w:val="0"/>
        </w:numPr>
        <w:ind w:leftChars="0" w:firstLine="560" w:firstLineChars="200"/>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kern w:val="2"/>
          <w:sz w:val="28"/>
          <w:szCs w:val="28"/>
          <w:lang w:val="en-US" w:eastAsia="zh-CN" w:bidi="ar-SA"/>
        </w:rPr>
        <w:t>阜新蒙古族自治县蒙医医院联合中国检科院检测中心、检科测试集团有限公司、标管准家（北京）标准化服务中心等医、研、企相关专业机构，依据《食品安全法》《中国药典》等食品安全法律和标准规范等，共同起草制定《火麻仁饮料》标准，在火麻仁饮料生产的技术指标要求、生产加工过程卫生、检验方法、检验规则、标志、包装、运输与贮存等方面进行严格的规定，规范火麻仁饮料产品全链条标准。</w:t>
      </w:r>
    </w:p>
    <w:p>
      <w:pPr>
        <w:numPr>
          <w:ilvl w:val="0"/>
          <w:numId w:val="0"/>
        </w:numPr>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三、</w:t>
      </w:r>
      <w:r>
        <w:rPr>
          <w:rFonts w:ascii="Times New Roman" w:hAnsi="Times New Roman" w:eastAsia="仿宋_GB2312" w:cs="Times New Roman"/>
          <w:b/>
          <w:bCs/>
          <w:sz w:val="24"/>
          <w:szCs w:val="24"/>
        </w:rPr>
        <w:t>《</w:t>
      </w:r>
      <w:r>
        <w:rPr>
          <w:rFonts w:hint="eastAsia" w:ascii="仿宋_GB2312" w:hAnsi="仿宋_GB2312" w:eastAsia="仿宋_GB2312" w:cs="仿宋_GB2312"/>
          <w:b/>
          <w:bCs/>
          <w:kern w:val="2"/>
          <w:sz w:val="28"/>
          <w:szCs w:val="28"/>
          <w:lang w:val="en-US" w:eastAsia="zh-CN" w:bidi="ar-SA"/>
        </w:rPr>
        <w:t>缓解视疲劳检测方法》团体</w:t>
      </w:r>
      <w:r>
        <w:rPr>
          <w:rFonts w:hint="eastAsia"/>
          <w:b/>
          <w:bCs/>
          <w:sz w:val="24"/>
        </w:rPr>
        <w:t>标准</w:t>
      </w:r>
      <w:r>
        <w:rPr>
          <w:rFonts w:hint="eastAsia" w:ascii="仿宋_GB2312" w:hAnsi="仿宋_GB2312" w:eastAsia="仿宋_GB2312" w:cs="仿宋_GB2312"/>
          <w:b/>
          <w:bCs/>
          <w:kern w:val="2"/>
          <w:sz w:val="28"/>
          <w:szCs w:val="28"/>
          <w:lang w:val="en-US" w:eastAsia="zh-CN" w:bidi="ar-SA"/>
        </w:rPr>
        <w:t>立项说明</w:t>
      </w:r>
    </w:p>
    <w:p>
      <w:pPr>
        <w:pStyle w:val="6"/>
        <w:spacing w:before="143" w:line="240" w:lineRule="auto"/>
        <w:ind w:left="11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通过制定《缓解视疲劳检测方法》团体标准，对护眼产品缓解视觉疲劳检测的方法提出具体要求，使得检测方法更加科学、规范，</w:t>
      </w:r>
      <w:r>
        <w:rPr>
          <w:rFonts w:hint="default" w:ascii="仿宋_GB2312" w:hAnsi="仿宋_GB2312" w:eastAsia="仿宋_GB2312" w:cs="仿宋_GB2312"/>
          <w:kern w:val="2"/>
          <w:sz w:val="28"/>
          <w:szCs w:val="28"/>
          <w:lang w:val="en-US" w:eastAsia="zh-CN" w:bidi="ar-SA"/>
        </w:rPr>
        <w:t>进而提升护眼产品的使用价值</w:t>
      </w:r>
      <w:r>
        <w:rPr>
          <w:rFonts w:hint="eastAsia" w:ascii="仿宋_GB2312" w:hAnsi="仿宋_GB2312" w:eastAsia="仿宋_GB2312" w:cs="仿宋_GB2312"/>
          <w:kern w:val="2"/>
          <w:sz w:val="28"/>
          <w:szCs w:val="28"/>
          <w:lang w:val="en-US" w:eastAsia="zh-CN" w:bidi="ar-SA"/>
        </w:rPr>
        <w:t>。通过对护眼产品抗疲劳效果进行评价规定，来提升护眼贴制造行业整体水平，促进护眼贴行业稳定发展，以便规范该眼贴的生产和质量管理，有效杜绝假冒伪劣产品，规范市场秩序，保障人们眼部健康。</w:t>
      </w:r>
    </w:p>
    <w:p>
      <w:pPr>
        <w:pStyle w:val="6"/>
        <w:spacing w:before="143" w:line="240" w:lineRule="auto"/>
        <w:ind w:left="11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本标准的制定，有利于填补国内对于护眼产品缓解视觉疲劳检测的空白，具有一定的前瞻性，迎合未来发展需要，且能规范该领域秩序，有利于同行业参考借鉴。</w:t>
      </w:r>
    </w:p>
    <w:p>
      <w:pPr>
        <w:numPr>
          <w:ilvl w:val="0"/>
          <w:numId w:val="0"/>
        </w:numPr>
        <w:ind w:leftChars="0"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随着电子产品的普及应用，我们的眼睛也受到越来越多的伤害。由于过度用眼而引起的眼干、眼涩、眼胀、流泪、畏光、视力模糊等眼部症状频频出现，大众对眼部健康更为关注。随着护眼需求的不断增加，眼贴产品应运而生，且产品需求日益增长，但对护眼产品抗疲劳效果的检测方法却少之又少，因此制定《缓解视疲劳检测方法》团体标准是非常有必要的。</w:t>
      </w:r>
    </w:p>
    <w:p>
      <w:pPr>
        <w:numPr>
          <w:ilvl w:val="0"/>
          <w:numId w:val="0"/>
        </w:numPr>
        <w:ind w:leftChars="0"/>
        <w:rPr>
          <w:rFonts w:hint="eastAsia" w:ascii="仿宋_GB2312" w:hAnsi="仿宋_GB2312" w:eastAsia="仿宋_GB2312" w:cs="仿宋_GB2312"/>
          <w:b/>
          <w:bCs/>
          <w:kern w:val="2"/>
          <w:sz w:val="28"/>
          <w:szCs w:val="28"/>
          <w:lang w:val="en-US" w:eastAsia="zh-CN" w:bidi="ar-SA"/>
        </w:rPr>
      </w:pPr>
      <w:r>
        <w:rPr>
          <w:rFonts w:hint="eastAsia" w:ascii="仿宋_GB2312" w:hAnsi="仿宋_GB2312" w:eastAsia="仿宋_GB2312" w:cs="仿宋_GB2312"/>
          <w:b/>
          <w:bCs/>
          <w:kern w:val="2"/>
          <w:sz w:val="28"/>
          <w:szCs w:val="28"/>
          <w:lang w:val="en-US" w:eastAsia="zh-CN" w:bidi="ar-SA"/>
        </w:rPr>
        <w:t>四、《中国一乡一品产业促进计划 标准化服务机构服务能力通用要求》和《中国一乡一品产业促进计划 标准化服务机构遴选规程》两项团体标准立项说明</w:t>
      </w:r>
    </w:p>
    <w:p>
      <w:pPr>
        <w:pStyle w:val="6"/>
        <w:spacing w:before="143"/>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通过制定《中国一乡一品产业促进计划 标准化服务机构服务能力通用要求》等两项团体标准，对标准化服务机构明确具体要求和程序，有利于中国一乡一品产业促进计划吸纳更多有实力和权威性的标准化服务机构，规范和加强中国一乡一品产业促进计划标准化服务机构工作的管理,保障中国一乡一品标准化工作健康有序开展。</w:t>
      </w:r>
    </w:p>
    <w:p>
      <w:pPr>
        <w:pStyle w:val="2"/>
        <w:keepNext w:val="0"/>
        <w:keepLines w:val="0"/>
        <w:widowControl/>
        <w:suppressLineNumbers w:val="0"/>
        <w:shd w:val="clear" w:fill="FFFFFF"/>
        <w:spacing w:before="300" w:beforeAutospacing="0" w:after="150" w:afterAutospacing="0" w:line="17" w:lineRule="atLeast"/>
        <w:ind w:left="0" w:firstLine="560" w:firstLineChars="200"/>
        <w:jc w:val="left"/>
        <w:rPr>
          <w:rFonts w:hint="default" w:ascii="仿宋_GB2312" w:hAnsi="仿宋_GB2312" w:eastAsia="仿宋_GB2312" w:cs="仿宋_GB2312"/>
          <w:b w:val="0"/>
          <w:kern w:val="2"/>
          <w:sz w:val="28"/>
          <w:szCs w:val="28"/>
          <w:lang w:val="en-US" w:eastAsia="zh-CN" w:bidi="ar-SA"/>
        </w:rPr>
      </w:pPr>
      <w:r>
        <w:rPr>
          <w:rFonts w:hint="eastAsia" w:ascii="仿宋_GB2312" w:hAnsi="仿宋_GB2312" w:eastAsia="仿宋_GB2312" w:cs="仿宋_GB2312"/>
          <w:b w:val="0"/>
          <w:kern w:val="2"/>
          <w:sz w:val="28"/>
          <w:szCs w:val="28"/>
          <w:lang w:val="en-US" w:eastAsia="zh-CN" w:bidi="ar-SA"/>
        </w:rPr>
        <w:t>上述标准的制定，有利于贯彻落实《国家标准化发展纲要》、《国家标准委等十部门关于培育发展标准化服务业的指导意见》（国标委服务联[2018]18号）、《关于促进团体标准规范优质发展的意见》、《团体标准管理规定》、《关于培育和发展团体标准的指导意见》、《中国一乡一品产业促进计划高质量发展三年行动方案（2022—2024年）》、《关于推进标准引领中国民贸高质量发展的通知》中民贸【2022】35号等文件精神，培育发展一乡一品标准化服务机构，完善一乡一品标准化服务体系，提高标准供给质量和效率，推动中国民贸和中国一乡一品产业促进计划标准化工作高质量发展。</w:t>
      </w:r>
    </w:p>
    <w:p>
      <w:pPr>
        <w:numPr>
          <w:ilvl w:val="0"/>
          <w:numId w:val="0"/>
        </w:numPr>
        <w:ind w:leftChars="0" w:firstLine="562" w:firstLineChars="200"/>
        <w:rPr>
          <w:rFonts w:hint="default" w:ascii="仿宋_GB2312" w:hAnsi="仿宋_GB2312" w:eastAsia="仿宋_GB2312" w:cs="仿宋_GB2312"/>
          <w:b/>
          <w:bCs/>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JjNmM0MDJhZGQ4NTRlMTcyNTRmNjIwMWQ2MGYzMTUifQ=="/>
  </w:docVars>
  <w:rsids>
    <w:rsidRoot w:val="47E1785A"/>
    <w:rsid w:val="04FF43E4"/>
    <w:rsid w:val="156265D1"/>
    <w:rsid w:val="15DD7BBE"/>
    <w:rsid w:val="1A5A300C"/>
    <w:rsid w:val="1E3D5C06"/>
    <w:rsid w:val="3F7A08C8"/>
    <w:rsid w:val="47E1785A"/>
    <w:rsid w:val="4E6B70BA"/>
    <w:rsid w:val="5C856EBF"/>
    <w:rsid w:val="5F455E3C"/>
    <w:rsid w:val="6BBC3594"/>
    <w:rsid w:val="7B674168"/>
    <w:rsid w:val="7D62514A"/>
    <w:rsid w:val="7F8873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6">
    <w:name w:val="Table Paragraph"/>
    <w:basedOn w:val="1"/>
    <w:qFormat/>
    <w:uiPriority w:val="1"/>
    <w:pPr>
      <w:autoSpaceDE w:val="0"/>
      <w:autoSpaceDN w:val="0"/>
      <w:jc w:val="left"/>
    </w:pPr>
    <w:rPr>
      <w:rFonts w:ascii="宋体" w:hAnsi="宋体" w:eastAsia="宋体" w:cs="宋体"/>
      <w:kern w:val="0"/>
      <w:sz w:val="22"/>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2022-04-27T02:43:00Z</dcterms:created>
  <dc:creator>厚德载物</dc:creator>
  <cp:lastModifiedBy>✨独家记忆</cp:lastModifiedBy>
  <dcterms:modified xsi:type="dcterms:W3CDTF">2022-04-29T12:22:23Z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65A489FAB0D241519E9042DD63D76CE1</vt:lpwstr>
  </property>
</Properties>
</file>